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Теоретическая часть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Линейная регрессия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Парная линейная регрессия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Множественная линейная регрессия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Теорема Гаусса-Маркова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Характеристика экзогенных и эндогенных переменных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Построение двухф</w:t>
      </w:r>
      <w:r>
        <w:rPr>
          <w:rFonts w:ascii="Times New Roman CYR" w:hAnsi="Times New Roman CYR" w:cs="Times New Roman CYR"/>
          <w:sz w:val="28"/>
          <w:szCs w:val="28"/>
        </w:rPr>
        <w:t>акторного уравнения регрессии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Построение однофакторных уравнений регрессии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Прогнозирование значения результативного признака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A64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практических задач исследователи сталкиваются с тем, что к</w:t>
      </w:r>
      <w:r>
        <w:rPr>
          <w:rFonts w:ascii="Times New Roman CYR" w:hAnsi="Times New Roman CYR" w:cs="Times New Roman CYR"/>
          <w:sz w:val="28"/>
          <w:szCs w:val="28"/>
        </w:rPr>
        <w:t>орреляционные связи не ограничиваются связями между двумя признаками: результативным у и факторным х.</w:t>
      </w:r>
    </w:p>
    <w:p w:rsidR="00000000" w:rsidRDefault="007A64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действительности результативный признак зависит от нескольких факторных.</w:t>
      </w:r>
    </w:p>
    <w:p w:rsidR="00000000" w:rsidRDefault="007A64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многофакторного анализа:</w:t>
      </w:r>
    </w:p>
    <w:p w:rsidR="00000000" w:rsidRDefault="007A64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Обосновать взаимосвязи факторов, влияющих на </w:t>
      </w:r>
      <w:r>
        <w:rPr>
          <w:rFonts w:ascii="Times New Roman CYR" w:hAnsi="Times New Roman CYR" w:cs="Times New Roman CYR"/>
          <w:sz w:val="28"/>
          <w:szCs w:val="28"/>
        </w:rPr>
        <w:t>исследуемый показатель.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степень влияния каждого фактора на результативный признак путем построения модели-уравнения множественной регрессии, которая позволяет установить, в каком направлении и на какую величину изменится результативный показа</w:t>
      </w:r>
      <w:r>
        <w:rPr>
          <w:rFonts w:ascii="Times New Roman CYR" w:hAnsi="Times New Roman CYR" w:cs="Times New Roman CYR"/>
          <w:sz w:val="28"/>
          <w:szCs w:val="28"/>
        </w:rPr>
        <w:t>тель при изменении каждого фактора, входящего в модель.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Количественно оценить тесноту связи между результативным признаком и факторами.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Теоретическая часть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Линейная регрессия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Парная линейная регрессия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Регрессионное уравнение, разрешённое </w:t>
      </w:r>
      <w:r>
        <w:rPr>
          <w:rFonts w:ascii="Times New Roman CYR" w:hAnsi="Times New Roman CYR" w:cs="Times New Roman CYR"/>
          <w:sz w:val="28"/>
          <w:szCs w:val="28"/>
        </w:rPr>
        <w:t>относительно исследуемой переменной у при наличии одной факторной переменной x, в общем виде записывается как: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(1.1)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уравнение регрессия экзогенный гаусс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показывает, каково будет в </w:t>
      </w:r>
      <w:r>
        <w:rPr>
          <w:rFonts w:ascii="Times New Roman CYR" w:hAnsi="Times New Roman CYR" w:cs="Times New Roman CYR"/>
          <w:sz w:val="28"/>
          <w:szCs w:val="28"/>
        </w:rPr>
        <w:t>среднем значение переменной y, если переменная х примет конкретное значение. Индекс р указывает на то, что мы получаем расчётное значение переменной y. Термин в среднем употреблен потому, что при влиянии неучтённых в модели факторов и в следствие погрешнос</w:t>
      </w:r>
      <w:r>
        <w:rPr>
          <w:rFonts w:ascii="Times New Roman CYR" w:hAnsi="Times New Roman CYR" w:cs="Times New Roman CYR"/>
          <w:sz w:val="28"/>
          <w:szCs w:val="28"/>
        </w:rPr>
        <w:t>тей измерения фактическое значение переменной y может быть разным для одного значения x.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f(x) является линейной функцией, то получим общий вид модели парной линейной регрессии: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(</w:t>
      </w:r>
      <w:r w:rsidR="007A64C3">
        <w:rPr>
          <w:rFonts w:ascii="Times New Roman CYR" w:hAnsi="Times New Roman CYR" w:cs="Times New Roman CYR"/>
          <w:sz w:val="28"/>
          <w:szCs w:val="28"/>
        </w:rPr>
        <w:t>1.2)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a Ї постоянная величина (или свободный член уравнения), Ї коэффициент регрессии, определяющий наклон линии, вдоль которой рассеяны наблюдения.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регрессии характеризует изменение переменной y при изменении значения x на единицу. Если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переменные положительно коррелированны, если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отрицательно коррелированны. Фактическое значение исследуемой переменной y тогда может быть представлено в виде: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position w:val="-10"/>
          <w:sz w:val="28"/>
          <w:szCs w:val="28"/>
        </w:rPr>
        <w:br w:type="page"/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247775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(1.3)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е Ї разность между фактическим значением (результатом наблюдения) и значением, рассчитанным по уравнению модели.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модель адекватно описывает исследуемый процесс, то е Ї независимая нормально распределённая случайная велич</w:t>
      </w:r>
      <w:r>
        <w:rPr>
          <w:rFonts w:ascii="Times New Roman CYR" w:hAnsi="Times New Roman CYR" w:cs="Times New Roman CYR"/>
          <w:sz w:val="28"/>
          <w:szCs w:val="28"/>
        </w:rPr>
        <w:t>ина с нулевым математическим ожиданием (Ме = 0) и постоянной дисперсией (Dе = 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 Наличие случайной компоненты е отражает тот факт, что присутствуют другие факторы, влияющие на исследуемую переменную и не учтённые в модели.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Построение уравнения регрессии </w:t>
      </w:r>
      <w:r>
        <w:rPr>
          <w:rFonts w:ascii="Times New Roman CYR" w:hAnsi="Times New Roman CYR" w:cs="Times New Roman CYR"/>
          <w:sz w:val="28"/>
          <w:szCs w:val="28"/>
        </w:rPr>
        <w:t xml:space="preserve">сводится к оценке ее параметров. Для оценки используется метод наименьших квадратов (МНК). МНК позволяет получить такие оценки параметров, при которых сумма квадратов отклонений фактических значений результативного признака у от оценок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минимальна, т.е.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 w:rsidR="007A64C3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операции МНК получаются оценки коэффициентов регрессии: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 = Cov (X,Y):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(1.4)=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(1.5) 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у</w:t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i: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 n;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571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х</w:t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: n; Cov (X,Y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)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95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952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Надежность оценок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их дисперсиями: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качества уравнения регрессии осуществляется по ряду позиций.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статистической значимости коэффициентов регрессии.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(1.6)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 (1.7)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:(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- 2),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180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ользуется критерий Стьюдента. Вычисляются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238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23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952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95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сравниваются с tкрит. Результатом сравнения является вывод о значимо</w:t>
      </w:r>
      <w:r>
        <w:rPr>
          <w:rFonts w:ascii="Times New Roman CYR" w:hAnsi="Times New Roman CYR" w:cs="Times New Roman CYR"/>
          <w:sz w:val="28"/>
          <w:szCs w:val="28"/>
        </w:rPr>
        <w:t>сти коэффициентов a и b.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Интервальные оценки коэффициентов уравнения регрессии.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объем выборки ограничен,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Ї случайные величины, поэтому желательно найти доверительные интервалы для истинных значений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0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Для этого также используется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Ї критерий Стьюдента.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значимости уравнения регрессии в целом.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установить, соответствует ли математическая модель экспериментальным данным и достаточно ли включенных в ура</w:t>
      </w:r>
      <w:r>
        <w:rPr>
          <w:rFonts w:ascii="Times New Roman CYR" w:hAnsi="Times New Roman CYR" w:cs="Times New Roman CYR"/>
          <w:sz w:val="28"/>
          <w:szCs w:val="28"/>
        </w:rPr>
        <w:t xml:space="preserve">внение объясняющих переменных для описания зависимой переменной. Мерой общего качества уравнения регрессии является коэффициент детерминации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342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342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 (1.8)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(1.8) вытекает из со</w:t>
      </w:r>
      <w:r>
        <w:rPr>
          <w:rFonts w:ascii="Times New Roman CYR" w:hAnsi="Times New Roman CYR" w:cs="Times New Roman CYR"/>
          <w:sz w:val="28"/>
          <w:szCs w:val="28"/>
        </w:rPr>
        <w:t>отношения: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381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381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 (1.9)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381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381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объясненная сумма квадратов, она характеризует разброс, обусловленный регрессией;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381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381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Ї остаточная (необъясненная) сумма квадратов, характеризует случайную составляющую разброса 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относительно линии регрессии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52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524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соотношений (1.8) и (1.9) следует, что коэффициент детерминации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есть ни что иное, как: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571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57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(1.10)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итоге, коэффициент детерминации можно вычислить по (1.8) или по (1.10).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значений зависимой переменной.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прогнозными понимаем значениях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при определенных значениях объясняющей переменной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.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задача решается в условиях неопределенности то прогноз удобнее всего давать на основе интервальных оценок, построенных с заданной надежностью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Причем здесь возможно два подхода: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предсказание среднего значения, т</w:t>
      </w:r>
      <w:r>
        <w:rPr>
          <w:rFonts w:ascii="Times New Roman CYR" w:hAnsi="Times New Roman CYR" w:cs="Times New Roman CYR"/>
          <w:sz w:val="28"/>
          <w:szCs w:val="28"/>
        </w:rPr>
        <w:t xml:space="preserve">.е.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 Х=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предсказание индивидуальных значений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 Х=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Интервальный прогноз для среднего значения вычисляется следующим образом: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 t</w:t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</w:rPr>
        <w:t>кр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 xml:space="preserve"> S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590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, (1.11)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;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 xml:space="preserve"> Ї критическое значение, полученное по распределению Стьюдента при количестве степеней свободы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- 2 и заданной вероятности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/2.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Интервальный прогноз для индивидуального значения вычисляется по формуле: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</w:rPr>
        <w:t>кр</w:t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6000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 (1.12)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Множественная линейная регрессия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Линейная модель множественной регрессии имеет вид: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857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,(1.13)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3048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Ї расчётные значения исследуемой переменной, 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571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- факторные переменные.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из коэффициентов уравнения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571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такую экономическую интерпретацию: он показывает, насколько изменится значение исследуемого признака при изменении соответствующего фактора на 1 при неизменных значениях других факторных переменных.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Фактическое зна</w:t>
      </w:r>
      <w:r>
        <w:rPr>
          <w:rFonts w:ascii="Times New Roman CYR" w:hAnsi="Times New Roman CYR" w:cs="Times New Roman CYR"/>
          <w:sz w:val="28"/>
          <w:szCs w:val="28"/>
        </w:rPr>
        <w:t>чение исследуемой переменной тогда представимо в виде: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257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(1.14)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адекватности модели необходимо, чтобы случайная величина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, являющаяся разностью между фактическими и расчётными значениями, имела нормальный закон расп</w:t>
      </w:r>
      <w:r>
        <w:rPr>
          <w:rFonts w:ascii="Times New Roman CYR" w:hAnsi="Times New Roman CYR" w:cs="Times New Roman CYR"/>
          <w:sz w:val="28"/>
          <w:szCs w:val="28"/>
        </w:rPr>
        <w:t>ределения с математическим ожиданием равным нулю и постоянной дисперсией 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наборов данных наблюдений, с использованием представления (1.14), мы можем записать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уравнений вида: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,(1.15)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ѕ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значения исследуемой и факторных переменных в i-м наблюдении,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Ї отклонение фактического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расчётного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уравнений (1.15) удобно исследовать в матричном виде: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,(1.16)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Ї вектор выборочных данных наблюдений исследуемой переменной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элементов),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Ї матрица выборочных данных наблюдений факторных переменных (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элементов),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Ї вектор параметров уравнения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+1 элементов),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Ї вектор случайных отклонений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элементов):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62400" cy="9429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(1.17)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построении модели множественной регрессии возникает необходи</w:t>
      </w:r>
      <w:r>
        <w:rPr>
          <w:rFonts w:ascii="Times New Roman CYR" w:hAnsi="Times New Roman CYR" w:cs="Times New Roman CYR"/>
          <w:sz w:val="28"/>
          <w:szCs w:val="28"/>
        </w:rPr>
        <w:t xml:space="preserve">мость оценки (вычисления) коэффициентов линейной функции, которые в матричной форме записи обозначены вектором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 Формула для вычисления параметров регрессионного уравнения методом наименьших квадратов (МНК) по данным наблюдений следующая: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3048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 (1.18)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Нахождение параметров с помощью соотношения (1.18) возможно лишь в том случае, когда между различными столбцами и различными строками матрицы исходных данных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отсутствует строгая линейная зависимость (иначе не существует обр</w:t>
      </w:r>
      <w:r>
        <w:rPr>
          <w:rFonts w:ascii="Times New Roman CYR" w:hAnsi="Times New Roman CYR" w:cs="Times New Roman CYR"/>
          <w:sz w:val="28"/>
          <w:szCs w:val="28"/>
        </w:rPr>
        <w:t>атная матрица). Это условие не выполняется, если существует линейная или близкая к ней связь между результатами двух различных наблюдений, или же если такая связь существует между двумя различными факторными переменными. Линейная или близкая к ней связь ме</w:t>
      </w:r>
      <w:r>
        <w:rPr>
          <w:rFonts w:ascii="Times New Roman CYR" w:hAnsi="Times New Roman CYR" w:cs="Times New Roman CYR"/>
          <w:sz w:val="28"/>
          <w:szCs w:val="28"/>
        </w:rPr>
        <w:t xml:space="preserve">жду факторами называется мультиколлинеарностью. Чтобы избавиться от мультиколлинеарности, в модель включают один из линейно связанных между собой факторов, причём тот, который в большей степени связан с исследуемой переменной.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чтобы избавиться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от мультиколлениарности проверяют для каждой пары факторных переменных выполнение следующих условий: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11906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.(1.19)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коэффициент корреляции между двумя факторными переменными должен быть меньше 0,8 и, одновременно, ме</w:t>
      </w:r>
      <w:r>
        <w:rPr>
          <w:rFonts w:ascii="Times New Roman CYR" w:hAnsi="Times New Roman CYR" w:cs="Times New Roman CYR"/>
          <w:sz w:val="28"/>
          <w:szCs w:val="28"/>
        </w:rPr>
        <w:t>ньше коэффициентов корреляции между исследуемой переменной и каждой из этих двух факторных переменных. Если хотя бы одно из условий (1.19) не выполняется, то в модель включают только один из этих двух факторов, а именно, тот, у которого модуль коэффициента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корреляции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Значимость параметров модели множественной регрессии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проверяется с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-критерия Стьюдента аналогично тому, как мы проверяли значимость коэффициентов модели парной регрессии. Для каждого параметра уравнения вычисляется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-ста</w:t>
      </w:r>
      <w:r>
        <w:rPr>
          <w:rFonts w:ascii="Times New Roman CYR" w:hAnsi="Times New Roman CYR" w:cs="Times New Roman CYR"/>
          <w:sz w:val="28"/>
          <w:szCs w:val="28"/>
        </w:rPr>
        <w:t>тистика: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6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647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(1.20)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304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3048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ст </w:t>
      </w:r>
      <w:r>
        <w:rPr>
          <w:rFonts w:ascii="Times New Roman CYR" w:hAnsi="Times New Roman CYR" w:cs="Times New Roman CYR"/>
          <w:sz w:val="28"/>
          <w:szCs w:val="28"/>
        </w:rPr>
        <w:t xml:space="preserve">Ї стандартная ошибка оценки,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jj</w:t>
      </w:r>
      <w:r>
        <w:rPr>
          <w:rFonts w:ascii="Times New Roman CYR" w:hAnsi="Times New Roman CYR" w:cs="Times New Roman CYR"/>
          <w:sz w:val="28"/>
          <w:szCs w:val="28"/>
        </w:rPr>
        <w:t xml:space="preserve"> Ї диагональный элемент матрицы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по таблицам определяется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 xml:space="preserve"> в зависимости от уровня значимости б и параметра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-1. Наконец, каждая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-статистик (1.20) сравнивается с табличным значением. Если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 xml:space="preserve">, то коэффициент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значимым. В противном случае коэффициент не является значимым и его можно положить равным нулю, тем самым исключить из модели 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(качество модели при этом не ухудшится).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модели оценивается стандартным способом для уравнений регрессии: по а</w:t>
      </w:r>
      <w:r>
        <w:rPr>
          <w:rFonts w:ascii="Times New Roman CYR" w:hAnsi="Times New Roman CYR" w:cs="Times New Roman CYR"/>
          <w:sz w:val="28"/>
          <w:szCs w:val="28"/>
        </w:rPr>
        <w:t xml:space="preserve">декватности и точности на основе анализа остатков регрессии е.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 в случае парной линейной регрессии, коэффициент детерминации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905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вычислить по формуле (1.8), индекс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(в случае линейной множественной р</w:t>
      </w:r>
      <w:r>
        <w:rPr>
          <w:rFonts w:ascii="Times New Roman CYR" w:hAnsi="Times New Roman CYR" w:cs="Times New Roman CYR"/>
          <w:sz w:val="28"/>
          <w:szCs w:val="28"/>
        </w:rPr>
        <w:t xml:space="preserve">егрессии он называется коэффициентом множественной регрессии)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среднюю относительную ошибку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4667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4667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(1.21).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проверки значимости уравнения регрессии в целом также производится аналогично случаю парной регрессии. Вычисляется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-критерий Фишера по формуле: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5048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3238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(1.22)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определяется критическое значение и сравнивается с расчётным значением.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Важную роль при оценке влияния отдельных факторов играют коэффициенты регрессионной модели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. Одн</w:t>
      </w:r>
      <w:r>
        <w:rPr>
          <w:rFonts w:ascii="Times New Roman CYR" w:hAnsi="Times New Roman CYR" w:cs="Times New Roman CYR"/>
          <w:sz w:val="28"/>
          <w:szCs w:val="28"/>
        </w:rPr>
        <w:t>ако непосредственно с их помощью нельзя сопоставить факторы по степени их влияния на зависимую переменную из-за различия единиц измерения и разного масштаба колебаний (степени колеблемости) при использовании разных наборов результатов наблюдений.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</w:t>
      </w:r>
      <w:r>
        <w:rPr>
          <w:rFonts w:ascii="Times New Roman CYR" w:hAnsi="Times New Roman CYR" w:cs="Times New Roman CYR"/>
          <w:sz w:val="28"/>
          <w:szCs w:val="28"/>
        </w:rPr>
        <w:t>нения таких различий применяются частные коэффициенты эластичности: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2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5429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 (1.24)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Ї среднеквадратические отклонения переменных: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14800" cy="5619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 (1.25)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Коэффицие</w:t>
      </w:r>
      <w:r>
        <w:rPr>
          <w:rFonts w:ascii="Times New Roman CYR" w:hAnsi="Times New Roman CYR" w:cs="Times New Roman CYR"/>
          <w:sz w:val="28"/>
          <w:szCs w:val="28"/>
        </w:rPr>
        <w:t>нт эластичности показывает, на сколько процентов изменяется исследуемая переменная при изменении факторной переменной на 1 процент. Если коэффициент эластичности меньше 0, то при увеличении значения фактора исследуемая переменная уменьшается. Таким образом</w:t>
      </w:r>
      <w:r>
        <w:rPr>
          <w:rFonts w:ascii="Times New Roman CYR" w:hAnsi="Times New Roman CYR" w:cs="Times New Roman CYR"/>
          <w:sz w:val="28"/>
          <w:szCs w:val="28"/>
        </w:rPr>
        <w:t>, коэффициенты эластичности можно сравнивать между собой по модулю для выяснения того, изменения какого фактора больше влияют на изменение исследуемой переменной. Однако коэффициент эластичности не учитывает степень колеблемости факторов.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Бета-коэффициент </w:t>
      </w:r>
      <w:r>
        <w:rPr>
          <w:rFonts w:ascii="Times New Roman CYR" w:hAnsi="Times New Roman CYR" w:cs="Times New Roman CYR"/>
          <w:sz w:val="28"/>
          <w:szCs w:val="28"/>
        </w:rPr>
        <w:t xml:space="preserve">показывает, на какую часть величины среднеквадратического отклонения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изменится переменная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с изменением соответствующей независимой переменной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на величину своего среднеквадратического отклонения при фиксированном ур</w:t>
      </w:r>
      <w:r>
        <w:rPr>
          <w:rFonts w:ascii="Times New Roman CYR" w:hAnsi="Times New Roman CYR" w:cs="Times New Roman CYR"/>
          <w:sz w:val="28"/>
          <w:szCs w:val="28"/>
        </w:rPr>
        <w:t>овне значений остальных факторных переменных.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коэффициенты позволяют упорядочить факторы по степени их влияния на исследуемую переменную.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Долю влияния фактора в суммарном влиянии всех факторов можно оценить по величине дельта - коэффициентов: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572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,(1.26)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коэффициент парной корреляции между фактором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и исследуемой переменной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целей построения эконометрической модели является прогнозирование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исследуемого процесса или объекта.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 случае парной регрессии вычисляются точечное и интервальное прогнозные значения исследуемой переменной.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Точечный прогноз осуществляется подстановкой прогнозного набора факторных переменных в уравнение регрессии: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  <w:lang w:val="en-US"/>
        </w:rPr>
        <w:br w:type="page"/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52875" cy="3333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.(1.27)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прогноз осуществляется не для одного набора факторных переменных, а для некоторого ряда наборов, то ряд точечных прогнозов исследуемой переменной можно представить в виде вектора, и вычислять его удобнее с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использованием операций с матрицами: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3333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,(1.28)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876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(1.29)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Интервальный прогноз в рамках модели множественной регрессии строится с использованием соотношений, являющихся обобщением формул парной регрессионной модели. Для нахождения размаха доверительного интервала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имо вычислить матрицу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323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 (1.30)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выражении (1.30) участвуют матрица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, составленная из значений факторных переменных, имевших место в рядах наблюдений и матрица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прогн</w:t>
      </w:r>
      <w:r>
        <w:rPr>
          <w:rFonts w:ascii="Times New Roman CYR" w:hAnsi="Times New Roman CYR" w:cs="Times New Roman CYR"/>
          <w:sz w:val="28"/>
          <w:szCs w:val="28"/>
        </w:rPr>
        <w:t>, составленная из прогнозируемых значений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ных переменных. Размерность матрицы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равна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00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 зависит от числа прогнозируемых наборов факторных переменных. Размах прогнозного интервала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-го набора факторных переменных равен: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3048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3048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(1.31)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Ї диагональный элемент матрицы (1.30). Тогда фактические значения исследуемой величины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-го набора значений факторных переменных с вероятностью (1-б) попадают в интервал: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3333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 (1.32</w:t>
      </w:r>
      <w:r w:rsidR="007A64C3"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Теорема Гаусса-Маркова</w:t>
      </w:r>
    </w:p>
    <w:p w:rsidR="00000000" w:rsidRDefault="007A64C3">
      <w:pPr>
        <w:widowControl w:val="0"/>
        <w:tabs>
          <w:tab w:val="left" w:pos="0"/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tabs>
          <w:tab w:val="left" w:pos="0"/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гипотезы модели множественной линейной регрессии: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2857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1, 2,…,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 Ї спецификация модели.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3143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детерминированные (независимые) пере</w:t>
      </w:r>
      <w:r>
        <w:rPr>
          <w:rFonts w:ascii="Times New Roman CYR" w:hAnsi="Times New Roman CYR" w:cs="Times New Roman CYR"/>
          <w:sz w:val="28"/>
          <w:szCs w:val="28"/>
        </w:rPr>
        <w:t>менные.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857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не зависит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952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 Ї некоррелированность ошибок для разных наблюдений.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~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571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т.е.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571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нормально распределенная случайная величина с математическим ожиданием, равным 0, и дисперсией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190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tabs>
          <w:tab w:val="left" w:pos="0"/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модель 1-3 называется нормальной линейной множественной регрессионной м</w:t>
      </w:r>
      <w:r>
        <w:rPr>
          <w:rFonts w:ascii="Times New Roman CYR" w:hAnsi="Times New Roman CYR" w:cs="Times New Roman CYR"/>
          <w:sz w:val="28"/>
          <w:szCs w:val="28"/>
        </w:rPr>
        <w:t xml:space="preserve">оделью. </w:t>
      </w:r>
    </w:p>
    <w:p w:rsidR="00000000" w:rsidRDefault="007A64C3">
      <w:pPr>
        <w:widowControl w:val="0"/>
        <w:tabs>
          <w:tab w:val="left" w:pos="0"/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Гипотезы, лежащие в основе множественной регрессии, удобно записать в матричной форме.</w:t>
      </w:r>
    </w:p>
    <w:p w:rsidR="00000000" w:rsidRDefault="007A64C3">
      <w:pPr>
        <w:widowControl w:val="0"/>
        <w:tabs>
          <w:tab w:val="left" w:pos="0"/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Обозначим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762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Ї матрица-столбец; 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762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Ї вектор коэффициентов размерности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524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571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Ї вектор ошибок;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8001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Ї матрица объясняющих переменных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809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…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1809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размерности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1524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Столбцами матрицы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векторы регрессоров размерности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19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т.е.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2762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2,…,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условия гипотез 1-3 в матричной форме будут иметь вид: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1809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спецификация модели.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Ї детерминированная матрица, имеющая максимальный ранг, равный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857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2857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3143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Ї единичная матрица.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~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3048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т.е.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905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Ї нормал</w:t>
      </w:r>
      <w:r>
        <w:rPr>
          <w:rFonts w:ascii="Times New Roman CYR" w:hAnsi="Times New Roman CYR" w:cs="Times New Roman CYR"/>
          <w:sz w:val="28"/>
          <w:szCs w:val="28"/>
        </w:rPr>
        <w:t xml:space="preserve">ьно распределенный случайный вектор со средним 0 и матрицей ковариаций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3048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 в случае регрессионного уравнения с одной переменной, целью метода является выбор вектора оценок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190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миними</w:t>
      </w:r>
      <w:r>
        <w:rPr>
          <w:rFonts w:ascii="Times New Roman CYR" w:hAnsi="Times New Roman CYR" w:cs="Times New Roman CYR"/>
          <w:sz w:val="28"/>
          <w:szCs w:val="28"/>
        </w:rPr>
        <w:t xml:space="preserve">зирующего сумму квадратов остатков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(т.е. квадрат длины вектора остатков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2857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Ї </w:t>
      </w:r>
      <w:r w:rsidR="007A64C3"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 w:rsidR="007A64C3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2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38525" cy="3238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необходимые условия минимума с использованием диффер</w:t>
      </w:r>
      <w:r>
        <w:rPr>
          <w:rFonts w:ascii="Times New Roman CYR" w:hAnsi="Times New Roman CYR" w:cs="Times New Roman CYR"/>
          <w:sz w:val="28"/>
          <w:szCs w:val="28"/>
        </w:rPr>
        <w:t xml:space="preserve">енцирования по вектору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получим: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2857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откуда, учитывая невырожденность матрицы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находим оценку метода наименьших квадратов (МНК):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762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(1.33)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Гаусса-Маркова утверждает, что модель с гипотезами 1-3 имеет оценку МНК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3143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эффективную (в смысле наименьшей дисперсии) оценку в классе линейных (по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несмещенных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оценок.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Практическая часть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экзогенных и эндогенных переменных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практической части работы будут проведены исследования зависимости между объясняемой (экзогенной) переменной у Ї индекс человеческого развития в ряде государств мира </w:t>
      </w:r>
      <w:r>
        <w:rPr>
          <w:rFonts w:ascii="Times New Roman CYR" w:hAnsi="Times New Roman CYR" w:cs="Times New Roman CYR"/>
          <w:sz w:val="28"/>
          <w:szCs w:val="28"/>
        </w:rPr>
        <w:t>и объясняющими (эндогенными) переменными: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Ї ВВП 1997г., % к 1990г. и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Ї ожидаемая продолжительность жизни при рождении 1997г., число лет. Значения переменных приведены в Таблице 2.1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2.1 - 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1404"/>
        <w:gridCol w:w="1293"/>
        <w:gridCol w:w="11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Австрия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Австралия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Белоруссия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Бельгия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Великобритания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Германия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Италия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Казахстан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Китай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Латвия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Нидерланды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Норвегия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Польша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США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Украина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ндия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78,1</w:t>
            </w:r>
          </w:p>
        </w:tc>
      </w:tr>
    </w:tbl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Построим графики зависимости результативного признака от каждого фактора в отдельности, используя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Windows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27146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 Ї График зависимости у от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27241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 Ї График зависимости у от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обоих графиках прослеживается преимущественно линейная форма зависимости между переменными, поэт</w:t>
      </w:r>
      <w:r>
        <w:rPr>
          <w:rFonts w:ascii="Times New Roman CYR" w:hAnsi="Times New Roman CYR" w:cs="Times New Roman CYR"/>
          <w:sz w:val="28"/>
          <w:szCs w:val="28"/>
        </w:rPr>
        <w:t>ому можно высказать предположение о линейной форме зависимости у от обоих факторов.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парные коэффициенты корреляции, применяя формулы: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position w:val="-36"/>
          <w:sz w:val="28"/>
          <w:szCs w:val="28"/>
        </w:rPr>
        <w:br w:type="page"/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609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(2.1)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4381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4000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(2.2)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средние значения находятся так: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6000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position w:val="-32"/>
          <w:sz w:val="28"/>
          <w:szCs w:val="28"/>
        </w:rPr>
        <w:t xml:space="preserve"> (2.3)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4857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position w:val="-32"/>
          <w:sz w:val="28"/>
          <w:szCs w:val="28"/>
        </w:rPr>
        <w:t xml:space="preserve"> (2.4)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3905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position w:val="-12"/>
          <w:sz w:val="28"/>
          <w:szCs w:val="28"/>
        </w:rPr>
        <w:t xml:space="preserve"> (2.5)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4000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position w:val="-16"/>
          <w:sz w:val="28"/>
          <w:szCs w:val="28"/>
        </w:rPr>
        <w:t xml:space="preserve"> (2.6)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6"/>
          <w:sz w:val="28"/>
          <w:szCs w:val="28"/>
        </w:rPr>
      </w:pPr>
    </w:p>
    <w:p w:rsidR="00000000" w:rsidRDefault="007A64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Таблица 2.2 </w:t>
      </w:r>
      <w:r>
        <w:rPr>
          <w:rFonts w:ascii="Times New Roman CYR" w:hAnsi="Times New Roman CYR" w:cs="Times New Roman CYR"/>
          <w:sz w:val="28"/>
          <w:szCs w:val="28"/>
        </w:rPr>
        <w:t>Ї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Расчетная таблица для определения парных коэффициентов корреляции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7"/>
        <w:gridCol w:w="709"/>
        <w:gridCol w:w="672"/>
        <w:gridCol w:w="799"/>
        <w:gridCol w:w="986"/>
        <w:gridCol w:w="978"/>
        <w:gridCol w:w="888"/>
        <w:gridCol w:w="888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13225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69,608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0,817216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15129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9618,6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113,406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72,1004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Белоруссия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56,462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51,884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0,582169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12321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8569,2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102,453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71,2556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0,851929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12769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8723,6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103,734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70,8696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0,842724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69,9432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0,820836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14161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9008,3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107,695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68,5085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0,819025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21316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9139,6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A7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5250" cy="16192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5250" cy="1619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64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79,5734,1170,297025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12769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101,022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69,732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0,799236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11664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8445,6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12769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105,316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73,628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0,868624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4799,6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0,5476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14658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147,21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48,9298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0,491401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6429,6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69,936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50,8896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0,553536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13924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9192,2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108,678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71,7459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0,848241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120,51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72,3987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0,859329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16129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9207,5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101,854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58,145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0,643204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4062,6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45,567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49,7502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0,558009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13689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8973,9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108,459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71,1009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0,859329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3164,8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33,166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49,6048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0,519841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11449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8217,6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97,691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70,1184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0,833569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71,6958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0,842724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9840,64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7330,88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82,6336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61,5587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0,693889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7938,6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92,314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71,8404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0,835396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8242,5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96,915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72,4555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0,851929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1860,6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322770,6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204586,6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2328,93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1592,28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18,29687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Ср.знач.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74,424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12910,82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8183,467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93,1573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63,6914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A64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0,7319</w:t>
            </w:r>
          </w:p>
        </w:tc>
      </w:tr>
    </w:tbl>
    <w:p w:rsidR="00000000" w:rsidRDefault="007A64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64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Получим расчетные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ения:</w:t>
      </w:r>
    </w:p>
    <w:p w:rsidR="00000000" w:rsidRDefault="005A77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57800" cy="1809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1809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1809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38650" cy="22955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6000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показывает, что зависимая переменная у имеет тесную связь с</w:t>
      </w:r>
      <w:r>
        <w:rPr>
          <w:rFonts w:ascii="Times New Roman CYR" w:hAnsi="Times New Roman CYR" w:cs="Times New Roman CYR"/>
          <w:sz w:val="28"/>
          <w:szCs w:val="28"/>
        </w:rPr>
        <w:t xml:space="preserve">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(ryx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= 0,9620) и менее тесную, очень слабую связь с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(ryx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-0,0043).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не тесно связаны между собой (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619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619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0,1633), что свидетельствует об отсутствии между ними коллинеарности.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Построение двухфакторного уравнения регрессии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уравнение множественной регрессии в линейной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с двумя факторами.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Линейное уравнение множественной регрессии имеет вид: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2000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) - стандартизированные коэффициенты регрессии.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двухфакторном регрессионном анализе найти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уравнение регрессии в стандартизированном масштабе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2000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2000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через формулы: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4095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0075" cy="4095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1905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1905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color w:val="000000"/>
          <w:sz w:val="28"/>
          <w:szCs w:val="28"/>
        </w:rPr>
        <w:t xml:space="preserve">, следовательно делаем вывод, что фактор </w:t>
      </w:r>
      <w:r w:rsidR="007A64C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 w:rsidR="007A64C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6 </w:t>
      </w:r>
      <w:r w:rsidR="007A64C3">
        <w:rPr>
          <w:rFonts w:ascii="Times New Roman CYR" w:hAnsi="Times New Roman CYR" w:cs="Times New Roman CYR"/>
          <w:color w:val="000000"/>
          <w:sz w:val="28"/>
          <w:szCs w:val="28"/>
        </w:rPr>
        <w:t xml:space="preserve">влияет на результативный признак сильнее чем фактор </w:t>
      </w:r>
      <w:r w:rsidR="007A64C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 w:rsidR="007A64C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 w:rsidR="007A64C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2095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Возвращаемся к натуральному масштабу используя </w:t>
      </w:r>
      <w:r>
        <w:rPr>
          <w:rFonts w:ascii="Times New Roman CYR" w:hAnsi="Times New Roman CYR" w:cs="Times New Roman CYR"/>
          <w:sz w:val="28"/>
          <w:szCs w:val="28"/>
        </w:rPr>
        <w:t>следующие формулы: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3333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3333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1809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1809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62325" cy="5715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38475" cy="5715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62575" cy="1809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Определяем коэффициент множественной корреляции, используя следующую формулу: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4095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14900" cy="2857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корреляции показывает, что связь между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 факторами прямая и сильная.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определяем коэффициент детерминации по формуле: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57425" cy="2095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190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детерминации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190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19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означает, что наша модель объясняет 95,2% общего разброса значений результативного признака, т.е. долю факторной дисперсии в общ</w:t>
      </w:r>
      <w:r>
        <w:rPr>
          <w:rFonts w:ascii="Times New Roman CYR" w:hAnsi="Times New Roman CYR" w:cs="Times New Roman CYR"/>
          <w:sz w:val="28"/>
          <w:szCs w:val="28"/>
        </w:rPr>
        <w:t>ей дисперсии.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Сравнительную оценку силы связи факторов проведем с помощью общих (средних) коэффициентов эластичности, используя следующую формулу: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4000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следующие: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1714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1714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1714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1714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1809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1809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86175" cy="3810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43275" cy="3810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2000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изменении фактора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на 1%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изменится от своей величины на 0,0774% при неизменном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изменении фактора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на 1%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изменится от своей величины на 1,8218% при неизменном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Наименьшее влияние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 факт</w:t>
      </w:r>
      <w:r>
        <w:rPr>
          <w:rFonts w:ascii="Times New Roman CYR" w:hAnsi="Times New Roman CYR" w:cs="Times New Roman CYR"/>
          <w:sz w:val="28"/>
          <w:szCs w:val="28"/>
        </w:rPr>
        <w:t>ор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Ї ВВП 1997г., % к 1990г.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Определим общий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-критерий Фишера по формуле: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4476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Ї объем выборки,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Ї число факторов модели.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Получим: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3714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62450" cy="2286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B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2190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поэтому уравнение регрессии, и показател</w:t>
      </w:r>
      <w:r>
        <w:rPr>
          <w:rFonts w:ascii="Times New Roman CYR" w:hAnsi="Times New Roman CYR" w:cs="Times New Roman CYR"/>
          <w:sz w:val="28"/>
          <w:szCs w:val="28"/>
        </w:rPr>
        <w:t>ь тесноты связи на 95% уровне статистически значимы.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статистической значимости модели по параметрам рассчитывают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-критерии Стьюдента.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-статистики Стьюдента: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3143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3143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1905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1905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762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762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следовательно, коэффициент регрессии b</w:t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статистически значимый.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762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762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следовательно, коэффициент регрессии b</w:t>
      </w:r>
      <w:r w:rsidR="007A64C3"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 w:rsidR="007A64C3">
        <w:rPr>
          <w:rFonts w:ascii="Times New Roman CYR" w:hAnsi="Times New Roman CYR" w:cs="Times New Roman CYR"/>
          <w:sz w:val="28"/>
          <w:szCs w:val="28"/>
        </w:rPr>
        <w:t xml:space="preserve"> статистически не значим.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Построение однофакторных уравнений регрессии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Строим однофакторные уравнения линейной регрессии, которое имеет вид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095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3619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2095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24325" cy="3714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95775" cy="2095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1809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1905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коэффициентов корреляции рассчитываем коэффициенты детерминации: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2571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571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факторной дисперсии в общей для первого однофакторного уравнения регрессии составляет 0,002%, тогда ка</w:t>
      </w:r>
      <w:r>
        <w:rPr>
          <w:rFonts w:ascii="Times New Roman CYR" w:hAnsi="Times New Roman CYR" w:cs="Times New Roman CYR"/>
          <w:sz w:val="28"/>
          <w:szCs w:val="28"/>
        </w:rPr>
        <w:t>к для второго уравнения Ї 92,5%. Второе уравнение значительно качественнее первого.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2.4 Прогнозирование значения результативного признака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полученных трех уравнений регрессии определим прогнозное значения результативного признака, используя сред</w:t>
      </w:r>
      <w:r>
        <w:rPr>
          <w:rFonts w:ascii="Times New Roman CYR" w:hAnsi="Times New Roman CYR" w:cs="Times New Roman CYR"/>
          <w:sz w:val="28"/>
          <w:szCs w:val="28"/>
        </w:rPr>
        <w:t>ние величины факторных признаков: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множественной регрессии: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000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однофакторной регрессии у и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однофакторной регрессии у и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0" cy="2095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</w:t>
      </w:r>
      <w:r>
        <w:rPr>
          <w:rFonts w:ascii="Times New Roman CYR" w:hAnsi="Times New Roman CYR" w:cs="Times New Roman CYR"/>
          <w:sz w:val="28"/>
          <w:szCs w:val="28"/>
        </w:rPr>
        <w:t>о у линейной множественной регрессии коэффициент детерминации - 0,9522 самый высокий, то из 3-х моделей выбор делаем в ее пользу, т.е. в пользу модели: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2095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выполнена в соответствии с изученными те</w:t>
      </w:r>
      <w:r>
        <w:rPr>
          <w:rFonts w:ascii="Times New Roman CYR" w:hAnsi="Times New Roman CYR" w:cs="Times New Roman CYR"/>
          <w:sz w:val="28"/>
          <w:szCs w:val="28"/>
        </w:rPr>
        <w:t xml:space="preserve">оретическими материалами по построению линейных моделей регрессии, краткий обзор которых приведен в теоретической части работы.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части работы рассматривались зависимости между объясняемой (экзогенной) переменной у Ї индекс человеческого разв</w:t>
      </w:r>
      <w:r>
        <w:rPr>
          <w:rFonts w:ascii="Times New Roman CYR" w:hAnsi="Times New Roman CYR" w:cs="Times New Roman CYR"/>
          <w:sz w:val="28"/>
          <w:szCs w:val="28"/>
        </w:rPr>
        <w:t>ития в ряде государств мира и объясняющими (эндогенными) переменными: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Ї ВВП 1997 г., % к 1990 г. и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Ї ожидаемая продолжительность жизни при рождении 1997 г., число лет. С использованием возможностей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Windows</w:t>
      </w:r>
      <w:r>
        <w:rPr>
          <w:rFonts w:ascii="Times New Roman CYR" w:hAnsi="Times New Roman CYR" w:cs="Times New Roman CYR"/>
          <w:sz w:val="28"/>
          <w:szCs w:val="28"/>
        </w:rPr>
        <w:t xml:space="preserve"> были получены графические изобр</w:t>
      </w:r>
      <w:r>
        <w:rPr>
          <w:rFonts w:ascii="Times New Roman CYR" w:hAnsi="Times New Roman CYR" w:cs="Times New Roman CYR"/>
          <w:sz w:val="28"/>
          <w:szCs w:val="28"/>
        </w:rPr>
        <w:t>ажения парных зависимостей, на основании которых, был сделан вывод о необходимости построения линейных моделей регрессии, которые и были построены: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t>Модель множественной линейной регрессии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2095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t>и две модели парных линейных рег</w:t>
      </w: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t>рессий:</w:t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1809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7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1809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 третья модели оказались статистически (95%) значимы и значимы их коэффициенты (на основании критерия Фишера и Стьюдента), их прогнозные значения достаточно близки</w:t>
      </w:r>
      <w:r>
        <w:rPr>
          <w:rFonts w:ascii="Times New Roman CYR" w:hAnsi="Times New Roman CYR" w:cs="Times New Roman CYR"/>
          <w:sz w:val="28"/>
          <w:szCs w:val="28"/>
        </w:rPr>
        <w:t>: 0,849 и 0,851 соответственно. На основании сравнения коэффициентов детерминации: 0,9522 и 0,9254 выбор сделан в пользу первой модели, так как она объясняет 95,2% факторной дисперсии в общей и ее следует использовать для прогнозных расчетов.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  <w:t>с</w:t>
      </w:r>
      <w:r>
        <w:rPr>
          <w:rFonts w:ascii="Times New Roman CYR" w:hAnsi="Times New Roman CYR" w:cs="Times New Roman CYR"/>
          <w:sz w:val="28"/>
          <w:szCs w:val="28"/>
        </w:rPr>
        <w:t>писок исп</w:t>
      </w:r>
      <w:r>
        <w:rPr>
          <w:rFonts w:ascii="Times New Roman CYR" w:hAnsi="Times New Roman CYR" w:cs="Times New Roman CYR"/>
          <w:sz w:val="28"/>
          <w:szCs w:val="28"/>
        </w:rPr>
        <w:t>ользуемых источников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Бабешко, Л.О. Основы эконометрического моделирования: учеб. пособие. Изд. 2-е. испр. / Л.О. Бабешко. - М.: КомКнига, 2006, -432 с.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Бывшев, В.А. Эконометрика: учеб. пособие / В.А. Бывшев. - М.: Финансы и статистика, 2008. -480 с.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Доугерти, К. Введение в эконометрику: учебник: пер. с англ./ К. Доугерти. - М.: Инфра-М, 2009.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Елисеева, И.И. Практикум по эконометрике: Учеб. пособие / И.И. Елисеева, С.В. Курышева, Н.М. Гордиенко и др., под ред. И.И. Елисеевой. - М.: Финансы и стати</w:t>
      </w:r>
      <w:r>
        <w:rPr>
          <w:rFonts w:ascii="Times New Roman CYR" w:hAnsi="Times New Roman CYR" w:cs="Times New Roman CYR"/>
          <w:sz w:val="28"/>
          <w:szCs w:val="28"/>
        </w:rPr>
        <w:t xml:space="preserve">стика. 2001. 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Кремер, Н.Ш. Эконометрика: Учебник / Н.Ш. Кремер, Б.А. Путко, Под ред. Н.Ш. Кремера. - М.: ЮНИТИ-ДАНА, 2002.</w:t>
      </w:r>
    </w:p>
    <w:p w:rsidR="00000000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Эконометрика: Учебник,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- 2-е изд., перераб. и доп. - 2-е изд.,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И.И. Елисеева, С.В. Курышева, Т.В. Костеева и др. </w:t>
      </w:r>
      <w:r>
        <w:rPr>
          <w:rFonts w:ascii="Times New Roman CYR" w:hAnsi="Times New Roman CYR" w:cs="Times New Roman CYR"/>
          <w:sz w:val="28"/>
          <w:szCs w:val="28"/>
        </w:rPr>
        <w:t>/ под ред. И.И</w:t>
      </w:r>
      <w:r>
        <w:rPr>
          <w:rFonts w:ascii="Times New Roman CYR" w:hAnsi="Times New Roman CYR" w:cs="Times New Roman CYR"/>
          <w:sz w:val="28"/>
          <w:szCs w:val="28"/>
        </w:rPr>
        <w:t>. Елисеевой. - М.: Финансы и статистика. 2007.</w:t>
      </w:r>
    </w:p>
    <w:p w:rsidR="007A64C3" w:rsidRDefault="007A6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Айвазян, С.А. Прикладная статистика и основы эконометрики / С.А. Айвазян, В.С. Мхитарян. - М.: ЮНИТИ, 1998.</w:t>
      </w:r>
    </w:p>
    <w:sectPr w:rsidR="007A64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B0"/>
    <w:rsid w:val="005A77B0"/>
    <w:rsid w:val="007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E8CA38-4D23-405D-8D3E-6CE77984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theme" Target="theme/theme1.xml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3441</Words>
  <Characters>19615</Characters>
  <Application>Microsoft Office Word</Application>
  <DocSecurity>0</DocSecurity>
  <Lines>163</Lines>
  <Paragraphs>46</Paragraphs>
  <ScaleCrop>false</ScaleCrop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2025-02-18T22:27:00Z</dcterms:created>
  <dcterms:modified xsi:type="dcterms:W3CDTF">2025-02-18T22:27:00Z</dcterms:modified>
</cp:coreProperties>
</file>