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Методические указания для проведения практических занятий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Математическое и имитационное моделирование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Исследование функций в экономике методом дифференциального исчисления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экономический программирование эластичность балансовый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Приведем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необходимые для решения задач понятия и формулы дифференциального исчисления в экономике ([1], [3]).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Пусть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количество произведенной продукции за время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Производительность труда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производная объема прои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зведенной продукции.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фактически производная логарифмической функции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темпом изменения функции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Поясним понятие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предельных издержек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Пусть х - объем производ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ства некоторой продукции,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производственная функция, описывающая зависимость издержек производства (суммарные затраты) от объема производства. Тогда предел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390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равный производной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выражает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предельные издержки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производства и характеризует приблизительно дополнительные затраты на производство единицы дополнительной продукции.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ные затраты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средние затраты на единицу продукции, т.е.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Объем продукции рабочего описывается уравнением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2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180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рабочее время в часах. Вычислить производительность труда, скорость и 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мп её изменения через 1 час после начала работы и за 2 часа до конца рабочего дня.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Производительность труда равняется производной от объема продукции,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190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485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Скорость изменения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роизводительности труда равен производной от производительности труда: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Темп изменения производительности труда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равен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190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т.е. фактически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762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146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Вычисляем эти показатели 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190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90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390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к концу работы производительность труда снижается, причем смена знака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2190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концу рабочего дня на «минус» свидетельствует, что увеличение производительности в начале рабочего дня сменяется её снижением в конце рабочего дня.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Задача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Зависимость спроса тов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ара от цены выражается формулой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4191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Найти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предельный спрос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цене: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Скорость изменения функции равна её производной, здесь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419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Отсюда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Знак «минус» показывает, что с увеличением цены спрос на товар падает.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Темп изменения равен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4191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390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Найдите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предельную производительность ресурса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если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ункция выпуска имеет вид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затраты ресурса равны: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2 усл. ед.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5 усл. ед.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Определите, начиная с какого момента увеличение затрат экономически невыгодно.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Производительность равна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8097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190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с увеличением затрат ресурса производительность падает. Причем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1905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619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619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увеличение затрат экономически невыгодно.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Пусть издержки производства вычисляются по формуле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Определить предельные издержки 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При каких значениях х издержки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производства возрастают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все медленнее; всё быстрее?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 каком объеме производства 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удельные затраты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будут минимальными?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1. Предельные издержки равны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Далее,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1905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здесь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18097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1809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То есть если выпуск продукции меньше 1 усл. ед., то издер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жки производства возрастают всё медленнее. Если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издержки растут всё быстрее.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Удельные затраты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равны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3905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1905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это точка минимума (почему?) К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(х).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Функция спроса от цены имеет вид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4286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Постройте график функции. Определите при каких р спрос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элас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тичен, нейтрален, неэластичен.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Эластичность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вычисляется по формуле: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8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191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для функции спроса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2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3905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390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191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4191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Здесь спрос эластичен: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381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Спрос нейтрален: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Спрос неэластичен: при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905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при увеличении цены больше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2190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спрос эластичен, т.е. товар меньше востребован.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Линейные балансовые модели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Приведем основные формулы.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ем линейную балансовую модель в матричной форме ([2])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12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ab/>
        <w:t>(2.1)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1905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где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11430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381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1905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9429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9429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Матрица называе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тся продуктивной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если для любого вектора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905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существует решение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уравнения (2.1) балансовой модели (неравенство вида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означает, что все элементы этого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вектора (матрицы) удовлетворяют этому неравенству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Существует несколько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критериев продуктивности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приведем некоторые.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Критерий 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Если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для некоторого положительного вектора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уравнение (2.1) имеет решение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180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матрицаА продуктивна.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Критерий 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Матрица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продуктивна тогда и только тогда, когда матрица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существует и неотрицательна.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  <w:t>Критерий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сумма элементов любого столбца неотрицательной матрицыА меньше 1, то А - продуктивна.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Исследовать на продуктивность матрицу: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4572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Учитывая, что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4572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4572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Докажем существование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найдем обратную матрицу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4572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 С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-1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существует.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2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4857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Видно, что все элементы матрицы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28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неотрицательны, значит матрицаА продуктивна.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Примечание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данной задаче подошел критерий №2. Критерий №3 - достаточный признак, он не подходит, так как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19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Критерием №3 можно, например, воспользоваться для определения продуктивности матрицы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71437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Здесь сумма элементов каждого столбца меньше единицы, значит матрица А продуктивна.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7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Пусть экономическая система состоит из 3 отраслей, назовем условно топливно-энергетическая отрасль, промышленность, сельское хозяйство. Пусть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714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является транспонированной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матрицей прямых затрат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вектор норм добавленной стоимости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[2]. Определить: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равновесные цены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равновесные цены, если произойдет увеличение нормы добавленной стоимости на 1,11 в топливно-энергетической отрасли.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Определим равновесные цены исходя из форму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 [2]: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1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2667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Имеем (проделайте вычисления самостоятельно!):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5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714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5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7143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Теперь по условию задачи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190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Вычисляя находим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5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71437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продукция первой отрасли подорожала на 14,5%, второй - на 3,5%, третьей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- 4,17%.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знать объемы выпуска, можно подсчитать вызванную этим повышением инфляцию.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 Метод множителей Лагранжа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требуется решить задачу нелинейного программирования следующего вида: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52387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непрерывны вместе со своими частными производными.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Суть метода Лагранжа состоит в построении функции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 (x,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y, λ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) = f (x,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y) + λ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 (x, y).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Функция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достигает условного экстремума в точке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тогда, когда функция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достигает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бсолютного экстремума в точке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существует единственное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Они находятся из системы - необходимых условий существования экстремумов: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6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10001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остается проверить является ли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position w:val="-6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position w:val="-6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точкой экстремума.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применение изученного метода, а также графического способа решения задачи нелинейного программирования на примере следующей задачи.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Задача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ирма реализует автомобили двумя способами: через магазин и через торговых агентов. При реализации х автомобилей через магазин расходы на реализацию составляют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²+ 8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усл. ед., при продаже у автомобилей через торговых агентов расходы составляют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усл. ед.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айти оптимальный способ реализации автомобилей, минимизирующий суммарные расходы, если необходимо продать 100 автомобилей.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Решение. Первый способ - метод Лагранжа.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Составляем математическую модель: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² 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</w:t>
      </w:r>
      <w:r>
        <w:rPr>
          <w:rFonts w:ascii="Times New Roman" w:hAnsi="Times New Roman" w:cs="Times New Roman"/>
          <w:color w:val="000000"/>
          <w:sz w:val="28"/>
          <w:szCs w:val="28"/>
        </w:rPr>
        <w:t>→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56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7429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position w:val="-56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 Лагранжа имеет вид: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= 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+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(100-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Запишем систему - необходимые условия существования экстремумов: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6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8191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Исключим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 первых двух уравнений, тогда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4286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48,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52, значит (48; 52) - стационарная точка.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Проверим достаточное условие существование экстремума в точке (48, 52):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˝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˝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˝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xy</w:t>
      </w:r>
      <w:r>
        <w:rPr>
          <w:rFonts w:ascii="Times New Roman" w:hAnsi="Times New Roman" w:cs="Times New Roman"/>
          <w:color w:val="000000"/>
          <w:sz w:val="28"/>
          <w:szCs w:val="28"/>
        </w:rPr>
        <w:t>)² = 2· 2 -0² 4 &gt; 0,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 экстремум существует.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условия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color w:val="000000"/>
          <w:sz w:val="28"/>
          <w:szCs w:val="28"/>
        </w:rPr>
        <w:t>˝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  <w:lang w:val="en-US"/>
        </w:rPr>
        <w:t>xx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2 &gt; 0 получаем условный минимум, причем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(48,52) = 5392 усл. единиц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Решение. Второй способ - графический метод.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Областью допустимых решений является отрезок АВ (Рис. 1), линиями уровня функции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>² + 8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² =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+ 4)²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- 16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являются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концентрические окружности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+ 4)² +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=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/>
          <w:sz w:val="28"/>
          <w:szCs w:val="28"/>
        </w:rPr>
        <w:t>²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центром (-4, 0) и радиусом С.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3216" w:dyaOrig="3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160.5pt;height:166.5pt" o:ole="">
            <v:imagedata r:id="rId109" o:title=""/>
          </v:shape>
          <o:OLEObject Type="Embed" ProgID="Paint.Picture" ShapeID="_x0000_i1132" DrawAspect="Content" ObjectID="_1801034006" r:id="rId110"/>
        </w:objec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1. Графическое решение.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Минимальное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достигается в точке касания отрезком АВ концентрической окружности, т.е. совпадают угловой коэффициент к=-1,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+100, и значение тангенса угл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касательной к окружности в точке Е, т.е. производная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´(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в точке 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´(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)= - 1.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Найдем производную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color w:val="000000"/>
          <w:sz w:val="28"/>
          <w:szCs w:val="28"/>
        </w:rPr>
        <w:t>´(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уравнения окружности в неявной форме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92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1152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Отсюда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position w:val="-54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7810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48,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52.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Ответ: оптимальный способ реализации - через магазин 48 автомобилей, через торговых агентов 52 автомобиля.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Задания для самостоятельной работы.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Задание 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продаже двух видов товара используются 4 типа ресурсов. Норма затрат ресурсов на реализацию единицы товара, общий объем каждого ресурса заданы в таблице 1.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Таблица1. Данные по товарам и ресурсам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2280"/>
        <w:gridCol w:w="2633"/>
        <w:gridCol w:w="26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Ресурсы</w:t>
            </w:r>
          </w:p>
        </w:tc>
        <w:tc>
          <w:tcPr>
            <w:tcW w:w="4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Норма затрат ресурсов товара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Общее количество ресу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рсов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товар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товар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12</w:t>
            </w:r>
          </w:p>
        </w:tc>
      </w:tr>
    </w:tbl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Прибыль от реализации одной единицы товара первого вида составляет 2 усл. ед., второго вида - 3 - усл. ед.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Найти оптимальный план реализации товаров, обеспечивающий план реализации товаров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обеспечивающий максимальную прибыль.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Задание 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Фирма реализует автомобили двумя способами: через магазин и через торговых агентов. При реализации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автомобилей через магазин расходы на реализацию составляют 4х1 + х1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усл. ед., а при продаже х1 автомоби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 через торговых агентов расходы составляют х2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усл. ед. Найти оптимальный способ реализации автомобилей, минимизирующий суммарные расходы, если общее число предназначенных для продажи автомобилей составляет 200 штук.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Линейное программирование. симпле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ксный метод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Геометрическая интерпретация симплексного метода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Идея последовательного улучшения решения легка в основу универсального метода решения задач линейного программирования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симплексного метода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Геометрический смысл симплексного метода состоит в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оследовательном переходе от одной вершины многогранника ограничений (называемой первоначальной) к соседней, в которой линейная функция принимает лучшее (по крайней мере, не худшее) значение (по отношения к цели задачи) до тех пор, пока не будет найдено опт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имальное решение - вершина, где достигается оптимальное значение функции цели (если задача имеет конечный оптимум).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Впервые симплексный метод был предложен американским ученым Дж. Джанцингом в 1949 г., однако еще в 1939 г. идеи метода были разработаны росс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ийским ученым Л.В. Кантовичем.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Симплексный метод, позволяющий решить любую задачу линейного программировании, универсален. В настоящее время он используется для компьютерных расчетов, однако несложные примеры с применением симплексного метода можно решать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вручную.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реализации симплексного метода - последовательного улучшения решения - необходимо освоить три основных элемента:</w:t>
      </w:r>
    </w:p>
    <w:p w:rsidR="00000000" w:rsidRDefault="00803103">
      <w:pPr>
        <w:widowControl w:val="0"/>
        <w:tabs>
          <w:tab w:val="left" w:pos="13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Способ определения какого-либо первоначального допустимого базисного решения задач;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Правило перехода к лучшему (точнее, не худ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шему) решению;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Критерий проверки оптимальности найденного решения.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использования симплексного метода задача линейного программирования должно быть приведена каноническому виду, т.е. система ограничений должна быть представлена в виде уравнений. Алгор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итм конкретной вычислительной реализации этих элементов рассмотрим на примерах.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Отыскание максимума линейной функции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Задача1.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Решить симплексным методом задачу: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max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ограничениях:</w:t>
      </w:r>
    </w:p>
    <w:p w:rsidR="00000000" w:rsidRDefault="00803103">
      <w:pPr>
        <w:widowControl w:val="0"/>
        <w:shd w:val="clear" w:color="auto" w:fill="FFFFFF"/>
        <w:tabs>
          <w:tab w:val="left" w:pos="2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2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2&lt;=18,</w:t>
      </w:r>
    </w:p>
    <w:p w:rsidR="00000000" w:rsidRDefault="00803103">
      <w:pPr>
        <w:widowControl w:val="0"/>
        <w:shd w:val="clear" w:color="auto" w:fill="FFFFFF"/>
        <w:tabs>
          <w:tab w:val="left" w:pos="2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2&lt;=16, (1)</w:t>
      </w:r>
    </w:p>
    <w:p w:rsidR="00000000" w:rsidRDefault="00803103">
      <w:pPr>
        <w:widowControl w:val="0"/>
        <w:shd w:val="clear" w:color="auto" w:fill="FFFFFF"/>
        <w:tabs>
          <w:tab w:val="left" w:pos="2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2&lt;=5,</w:t>
      </w:r>
    </w:p>
    <w:p w:rsidR="00000000" w:rsidRDefault="00803103">
      <w:pPr>
        <w:widowControl w:val="0"/>
        <w:shd w:val="clear" w:color="auto" w:fill="FFFFFF"/>
        <w:tabs>
          <w:tab w:val="left" w:pos="23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1&lt;=21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1&gt;=0,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2&gt;=0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помощью дополнительных неотрицательных» переменных перейдем к системе уравнений. В данном случае все дополнительные переменные вводятся со знаком «плюс», так как все неравенства имеют вид «&lt;=»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Получим систему ограничений в виде: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3=18,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4=16, (2)</w:t>
      </w:r>
    </w:p>
    <w:p w:rsidR="00000000" w:rsidRDefault="0080310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5=5,</w:t>
      </w:r>
    </w:p>
    <w:p w:rsidR="00000000" w:rsidRDefault="0080310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6=21.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нахождения первоначального базисного решения разобьем переменные на две группы - основные и неосновные. Так как определитель, составленный из коэффициентов при дополнительных переменных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6, отличен от нуля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эти переменные можно взять в качестве основных на первом шаге |решения задачи. При выборе основных переменных на первом шаге не обязательно составлять определитель из их коэффициентов и проверять, равен ли он нулю. Достаточно воспользоваться |следующи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правилом: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качестве основных переменных на первом шаге следует выбрать (если возможно) такие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переменных, каждая из которых входит только в одно из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уравнений системы ограничений, при этом нет таких уравнений системы, в которые не входит ни одна из эт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переменных.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Дополнительные переменные удовлетворяют этому правилу. Если выбранные по этому правилу переменные имеют те же знаки, что и соответствующие им свободные члены в правых частях уравнений, то полученное таким образом базисное решение будет допус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тимым. В данном случае так и получилось.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Выразим основные переменные черезнеосновные: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3=18-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4=16-2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2, (3)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5=5-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6=21-3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Положив неосновные переменные равными нул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ю, т.е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1=0,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2=0, получим базисное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1=(0; 0; 18; 16; 5; 21), которое является допустимым и соответствует вершине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(0; 0) многогранника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OABCDE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рис. 1. Поскольку это решение допустимое, нельзя отбросить возможность того, что оно оптимально. Вырази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 линейную функцию через 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При решении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1значение функции равно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1). Легко понять, что функцию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увеличить за счет увеличения любой из неосновных переменных, входящих в выражение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положительным коэффициентом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Это можно осуществить, перейдя к такому новому допустимому базисному решению, в котором эта переменная будет неосновной, т.е. принимать не нулевое, а положительное значение (если новое решение будет вырождено, то функция цели сохранит свое значение). При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таком переходе одна из основных переменных перейдет в неосновные, геометрически произойдет переход к соседней вершине многоугольника, где значение линейной функции «лучше» (по крайней мере «не хуже»). В данном примере для увеличения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можно переводить в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новные либо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либо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2, так как обе эти переменны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| входят в выражение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 знаком «плюс». Для определенности в такой ситуации будем выбирать переменную, имеющую больший коэффициент, т.е. в данном случае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(такое правило выбора не всегда дает наименее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трудоемкое решение, иногда имеет смысл провести предварительные специальные оценки).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(3) накладывает ограничения на рост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 Поскольку необходимо сохранять допустимость решений, т.е. все переменные должны оставаться неотрицательными,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должны выполняться следующие неравенства (при этом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1=0 как неосновная переменная):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3=18-3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2&gt;=0,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2&lt;=18/3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4=16-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2&gt;=0, откуда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2&lt;=16/1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2&gt;=0,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2&lt;=5/1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6=21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Каждое уравнение системы (3), кроме последнего, определяет оценочное отношение - границу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оста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 сохраняющую неотрицательность соответствующей переменной. Этаграница определяется абсолютной величиной отношения свободного члена к коэффициенту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условии, что эти числа имеют разные знаки. Последнее уравнение системы неограничив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ает рост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 так как данная переменная в него не входит (или формально входит с нулевым коэффициентом). В этом случае условимся обозначать границу символом. Такой же символ будем использовать, когда свободный член и коэффициент при переменной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уравнении имеют одинаковые знаки, так как и в этом случае нет ограничений на рост переменной.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накладывает ограничений на рост переменной, переводимой в основные, и такое уравнение, где свободный член отсутствует (т.е. равен 0), а переводимая переменная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имеет положительный коэффициент. И в этом случае граница обозначается символом. Обратите внимание, что при нулевом свободном члене и отрицательном коэффициенте при переводимой переменной уравнение ограничивает рост этой переменной нулем! (любое положительн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ее значение вносит отрицательную компоненту в следующее базисное решение).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что сохранение неотрицательности всех переменных (допустимость решения) возможно, если не нарушается ни одна из полученных во всех уравнениях границ. В данном примере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аибольшее возможное значение для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 определяется как х2=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{18/3; 16/1; 5/1;}=5. При х2=5 переменная х5 обращается в нуль и переходит в неосновные.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Уравнение, где достигается наибольшее возможное значение переменной, переводимой в основные (т.е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где оценка минимальна), называется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разрешающим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В данном случае - это третье уравнение.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Выразим новые основные переменные через новые неосновные, начиная с разрешающего уравнения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(его используем при записи выражения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2):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3=18-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1-3 (5-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5), (4)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4=16-2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1 - (5-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5=21-3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или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3=3-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4=11-2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5=21-3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</w:p>
    <w:p w:rsidR="00000000" w:rsidRDefault="00803103">
      <w:pPr>
        <w:widowControl w:val="0"/>
        <w:shd w:val="clear" w:color="auto" w:fill="FFFFFF"/>
        <w:tabs>
          <w:tab w:val="left" w:pos="27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Второе базисное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2=(0; 5; 3; 11; 0; 21) является допустимым и соответствует вершине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(0; 5) на рис. 1. Геометрическая интерпретация перехода от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2 - переход от вершины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соседней вершине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многоугольнике решений ОАВСОЕ.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Выразив линейную функцию через неосновные переменные на этом шаге, получаем: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 (5-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5)=15+2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линейной функции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2)=15. Изменение значения линейной функции легко определить заранее как произведение наибольшего возможного значения переменной, переводимой в основные, на ее коэффициент в выражении для линейной функции; в данном случа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1=5*3=15,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1=0+15=15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Однако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не является максимальным, так как повторяя рассуждения 1 шага, обнаруживаем возможность дальнейшего увеличения линейной функции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счет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входящей в выражение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положительным коэффициентом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Система уравнений (4) определяет наибольшее возможное значение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{3/1 $11/2}=3. Второе уравнение является разрешающим, переменная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переходит в неосновные, при этом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2=3*2=6.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Как и на 2 шаге, выражаем новые основные переменные через новые неосновные, начиная с разрешающего уравнения (его используем при записи выражения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1_. После преобразований получаем: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5,</w:t>
      </w:r>
    </w:p>
    <w:p w:rsidR="00000000" w:rsidRDefault="00803103">
      <w:pPr>
        <w:widowControl w:val="0"/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4=5+2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3-5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(5)</w:t>
      </w:r>
    </w:p>
    <w:p w:rsidR="00000000" w:rsidRDefault="00803103">
      <w:pPr>
        <w:widowControl w:val="0"/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6=12+3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3-9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5.</w:t>
      </w:r>
    </w:p>
    <w:p w:rsidR="00000000" w:rsidRDefault="00803103">
      <w:pPr>
        <w:widowControl w:val="0"/>
        <w:shd w:val="clear" w:color="auto" w:fill="FFFFFF"/>
        <w:tabs>
          <w:tab w:val="left" w:pos="193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Базисн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3=(3; 5; 0; 5; 0; 12) соответствует вершине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(3; 5). Выражаем линейную функцию через 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2=2 (3-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5)+3 (5-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5)=21-2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3)=21. Проверяем: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2=21-15=6=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 Третье допустимое базисное решение тоже не являе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тся оптимальным, поскольку при неосновной переменной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в выражении линейной функции через неосновные переменные содержится положительный коэффициент. Переводим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в основную переменную. При определении наибольшего возможного значения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5следует обратит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 внимание на первое уравнение в системе (5), которое не дает ограничений на рост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5, так как свободный член и коэффициент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имеют одинаковые знаки. Поэтому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{5; 1; 12/9}=1. Третье уравнение является разрешающим, и переменная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переходит в неос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новные;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3=1*3=3.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 ш а 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Неосновные переменные: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преобразований получим;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1=6+(1/5)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3 - (3/5)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4,</w:t>
      </w:r>
    </w:p>
    <w:p w:rsidR="00000000" w:rsidRDefault="00803103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2=4 - (2/5)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3+(1/5)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4,</w:t>
      </w:r>
    </w:p>
    <w:p w:rsidR="00000000" w:rsidRDefault="00803103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5=1+(2/5)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3 - (1/5)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4,</w:t>
      </w:r>
    </w:p>
    <w:p w:rsidR="00000000" w:rsidRDefault="00803103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6=3 - (3/5)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3+(9/5)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4.</w:t>
      </w:r>
    </w:p>
    <w:p w:rsidR="00000000" w:rsidRDefault="00803103">
      <w:pPr>
        <w:widowControl w:val="0"/>
        <w:shd w:val="clear" w:color="auto" w:fill="FFFFFF"/>
        <w:tabs>
          <w:tab w:val="left" w:pos="16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Базисное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4=(6; 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0; 0; 1; 3) соответствует вершин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(6; 4) на рис. 1.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Линейная функция, выраженная через неосновные переменные, имеет вид: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=24 - (4/5)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3 - (3/5)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4. Это выражение не содержит положительных коэффициентов при неосновных переменных поэтому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4)=24 максимальное. Функцию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невозможно еще увеличить, переходя к другому допустимому базисному решению, т.е.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оптимальное. Вспоминая экономический смысл всех переменных, можно сделать следующие выводы.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Прибыль предприятия принимает максимальное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24 руб. при реализации 6 единиц продукции Р1 (х1=6) и 4 единиц продукции Р2 (х2=4). Дополнительные переменные х3, х4, х5, х6 показывают разницу между запасами ресурсов каждого вида и их потреблением, т.е. остатки ресурсов. При оптимальном плане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оизводства х3=х4=0, т.е. остатки ресурсов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равны нулю, а остатки ресурсов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равны соответственно 1 и 3 единицам.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Теперь можно в общем виде сформулировать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критерий оптимальности решения при отыскании максимума линейной функции: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выражении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линейной функции через неосновные переменные отсутствуют положительные коэффициенты при неосновных переменных, то решение оптимально.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Отыскание минимума линейной функции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определении минимума линейной функции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возможны два пути: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отыскать максимум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ункции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полагая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учитывая, что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Fmax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модифицировать симплексный метод: на каждом шаге уменьшать линейную функцию за счет той неосновной переменной, которая входит в выражение линейной функции с отрицательным коэффициентом.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Рассмотрим это на 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едующем примере.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Задача2.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Решить симплексным методом задачу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1+16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3+21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ограничениях: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4&gt;=2,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3&gt;=3,</w:t>
      </w:r>
    </w:p>
    <w:p w:rsidR="00000000" w:rsidRDefault="00803103">
      <w:pPr>
        <w:widowControl w:val="0"/>
        <w:shd w:val="clear" w:color="auto" w:fill="FFFFFF"/>
        <w:tabs>
          <w:tab w:val="left" w:pos="232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&gt;=0,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=1,2,3,4.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Решение.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Введем дополнительные неотрицательные переменные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 со знаком «минус», так как неравенства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имеют вид «&gt;=». Получим систему уравнений: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1+2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5=2,</w:t>
      </w:r>
    </w:p>
    <w:p w:rsidR="00000000" w:rsidRDefault="00803103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6=3.</w:t>
      </w:r>
    </w:p>
    <w:p w:rsidR="00000000" w:rsidRDefault="00803103">
      <w:pPr>
        <w:widowControl w:val="0"/>
        <w:shd w:val="clear" w:color="auto" w:fill="FFFFFF"/>
        <w:tabs>
          <w:tab w:val="left" w:pos="2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на первом шаге в качестве основных взять дополнительные переменные, то получим недопустимое базисное решение: (0; 0; 0; 0; -2; -3). В данном случае в качестве основных удоб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взять переменные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 (это согласуется с правилом выбора основных переменных, сформулированным в разд. 2), коэффициенты при у3 и у4 положительны, поэтому в качестве первоначального получим допустимое базисное решение.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переменные: у3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Неосновные переменные: у1, у2, у5, у6.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Выражаем основные переменные через основные: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у3=3-3у1-у2+у6,</w:t>
      </w:r>
    </w:p>
    <w:p w:rsidR="00000000" w:rsidRDefault="00803103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у4=(2/3) - (1/3) у1 - (2/3) у2+(1/3) у5.</w:t>
      </w:r>
    </w:p>
    <w:p w:rsidR="00000000" w:rsidRDefault="00803103">
      <w:pPr>
        <w:widowControl w:val="0"/>
        <w:shd w:val="clear" w:color="auto" w:fill="FFFFFF"/>
        <w:tabs>
          <w:tab w:val="left" w:pos="22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1=(0; 0; 3; 2/3; 0; 0) первое базисное решение, оно допустимое. Выражаем линейную функцию через неосновные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еменные: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1+16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3+21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4=18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1+16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2+5 (3-3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6)+21 (2/3 - (1/3)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1 - (2/3)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2+(1/3)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5)=29-4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1-3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2+7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5+5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1)=29 - это значение не является минимальным, так как функцию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можно уменьшить за счет перевода в основные любой из переменных у1 или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у2, имеющих в выражении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отрицательные коэффициенты. Так как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 имеет больший по абсолютному значению коэффициент, то начнем с этой переменной.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нее наибольшее возможное значение: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{3/3; 2/3; 1/3}=1, т.е. первое уравнение является разрешающим;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 становится неосновной переменной,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1=-4*1=-4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переменные: у1, у4.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Неосновные переменные: у2, у3, у5, у6.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Получим после преобразований: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у1=1 - (1/3) у2 - (1/3) у3+(1/3) у6,</w:t>
      </w:r>
    </w:p>
    <w:p w:rsidR="00000000" w:rsidRDefault="00803103">
      <w:pPr>
        <w:widowControl w:val="0"/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у4=1/3 - (5/9) у2+(1/9) у3+(1/3) у5 - (1/9) у6,</w:t>
      </w:r>
    </w:p>
    <w:p w:rsidR="00000000" w:rsidRDefault="00803103">
      <w:pPr>
        <w:widowControl w:val="0"/>
        <w:shd w:val="clear" w:color="auto" w:fill="FFFFFF"/>
        <w:tabs>
          <w:tab w:val="left" w:pos="256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=25 - (5/3)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2+(4/3)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3+7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5+(11/3)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6 - линейная функция. При базисном решении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2=(1; 0; 0; 1/3; 0; 0) получаем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2)=25.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1=25-29=-4=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Переменную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 переводим в основные, так как в выражение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она входит с отрицательным коэффициентом. Наиболь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шее возможное значение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{3; 3/5}=3/5, второе уравнение разрешающее 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4 переходит в неосновные переменные;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2=3/5 (-5/3) = -1.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3 шаг.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переменные: у1, у2.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Неосновные переменные: у3, у4, у5, у6.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Получим после преобразований: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у1=4/5 - (2/5) у3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+(3/5) у4 - (1/5) у5+(2/5) у6,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у2=3/5+(1/5) у3 - (9/5) у4+(3/5) у5 - (1/5) у6,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=24+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3+3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4+6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5+4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6. Базисное решение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3=(4/5; 3/5; 0; 0; 0; 0) оптимальное, так как в выражении для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 неосновных переменных с отрицательными коэффициентами. Поэтому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Zmin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3)=24.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2=24-25=-1=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Сформулируем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критерий оптимальности при отыскании минимума линейной функции: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если в выражении линейной функции через неосновные переменные отсутствуют отрицательные коэффициенты при неосновных переменных, то решение оптимально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Замечание.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каждом шаге симплексного метода какая-либо неосновная переменная переводится в основные, при этом каждое уравнений системы ограничений определяет конечное или бесконечное наибольшее возможное значение этой переменной - оценочное отношение.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задачах 1 и 2 встречались различные случаи оценки роста неосновной переменной, которые зависели от знаков и значений свободного члена и коэффициента при переводимой переменной. Сформулируем все возможные случаи. Обозначим: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переводимая неосновная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еменная,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bj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свободный член,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коэффициент при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 Транспортная задача линейного программирования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Диагональный метод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или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 северо-западного угла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этом методе на каждом шаге построения первого опорного плана заполняется левая верхняя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летка (северо-западный угол) оставшейся части таблицы. При таком методе заполнение таблицы начинается с клетки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заканчивается в клетке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mn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идет как бы по диагонали таблицы перевозок.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2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Заполнение табл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ицы начинается с ее северо-западного угла, т.е. клетки с неизвестным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Первая база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может полностью удовлетворить потребность первого заказчика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=300,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=170,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&gt;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Полагая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170, вписываем это значение в клетку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исключаем из рассмотре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первый столбец. На базе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остается измененный запас . В оставшейся новой таблице с тремя строками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четырьмя столбцами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северо-западным углом будет клетка для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Первая база с запасом может полностью удовлетвор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ить потребность второго заказчика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Полагаем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110, вписываем это значение в клетку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исключаем из рассмотрения второй столбец. На базе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остается новый остаток (запас) . В оставшейся новой таблице с тремя строками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тремя столбцами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северо-западным углом будет клетка для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Теперь третий заказчик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принять весь запас с базы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Полагаем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20, вписываем это значение в клетку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13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исключаем из рассмотрения первую строку. У заказчика из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осталась ещ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не удовлетворенной потребность . Теперь переходим к заполнению клетки для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Через шесть шагов у нас останется одна база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запасом груза (остатком от предыдущего шага) и один пункт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потребностьюb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=200. Соответственно этому име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 одна свободная клетка, которую и заполняем, положив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=200. План составлен. Базис образован неизвестными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Правильность составленного плана легко проверить, подсчитав суммы чисел, стоящих в заполненных клетках по стр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окам и столбцам.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Общий объем перевозок в тонно-километрах для этого плана составит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Метод наименьшей стоимости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этом методе на каждом шаге построения опорного плана первою заполняется та клетка оставшейся части таблицы, которая имеет наименьший тари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ф. Если такая клетка не единственная, то заполняется любая из них.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Таблица3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случае заполнение таблицы начинается с клетки для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для которого мы имеем значение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10, наименьше из всех значений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Эта клетка находится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пересечении третьей строки и второго столбца, соответствующим третьей базе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второму заказчику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Третья база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полностью удовлетворить потребность второго заказчика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=250,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=110,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&gt;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 Полагая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110, вписываем это значение в кл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етку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исключаем из рассмотрения второй столбец. На базе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остается изменённый запас . В оставшейся новой таблице с тремя строками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четырьмя столбцами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клеткой с наименьшим значением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клетка, гдеc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=11. Заполняем описанным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выше способом эту клетку и аналогично заполняем следующие клетки. В результате оказываются заполненными (в приведенной последовательности) следующие клетки: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пятом шаге клеток с наименьшими значениями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оказалось две (c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=70). Мы заполнили клетку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для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15,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положив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180. Можно было выбрать для заполнения другую клетку, положив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11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170, что приведет в результате к другому опорному плану. Общий объем перевозок в тонно-километрах для этого плана составит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Понятие потенциала и цикла.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перехода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 одного базиса к другому при решении транспортной задачи используются так называемые циклы.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Циклом пересчета или короче, циклом в таблице перевозок называется последовательность неизвестных, удовлетворяющая следующим условиям:</w:t>
      </w:r>
    </w:p>
    <w:p w:rsidR="00000000" w:rsidRDefault="00803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Одно из неизвестных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ледовательности свободное, а все остальные - базисные.</w:t>
      </w:r>
    </w:p>
    <w:p w:rsidR="00000000" w:rsidRDefault="00803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Каждые два соседних в последовательности неизвестных лежат либо в одном столбце, либо в одной строке.</w:t>
      </w:r>
    </w:p>
    <w:p w:rsidR="00000000" w:rsidRDefault="00803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Три последовательных неизвестных не могут находиться в одном столбце или в одной строке.</w:t>
      </w:r>
    </w:p>
    <w:p w:rsidR="00000000" w:rsidRDefault="0080310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Если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начиная с какого-либо неизвестного, мы будем последовательно переходить от одного к следующему за ним неизвестному то, через несколько шагов мы вернемся к исходному неизвестному.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Второе условие означает, что у двух соседних неизвестных в цикле либо первы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либо вторые индексы одинаковы.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каждые два соседних неизвестных цикла соединить отрезком прямой, то будет получено геометрическое изображение цикла - замкнутая ломаная из чередующихся горизонтальных и вертикальных звеньев, одна из вершин которой нах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одится в свободной клетке, а остальные - в базисных клетках.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доказать, что для любой свободной клетки таблицы перевозок существует один и только один цикл, содержащий свободное неизвестное из этой клетки, и что число вершин в цикле всегда четно.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например, в таблице перевозок, составленной по диагональному методу при решения задачи из предыдущего пункта, неизвестному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соответствует цикл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т.д.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теперь мы имеем некоторую свободную клетку с соответствующим ей циклом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Если мы изменим значение свободного неизвестного, увеличив его на некоторое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то, переходя последовательно от одной вершины цикла к другой, мы должны будем в силу неизменности сумм по строкам и по столбцам поочередно уменьшать и увеличивать значен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ия неизвестных в цикле на то же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Например, в указанном выше цикле для свободного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получим: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старые значения: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80,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20,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170,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0;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новые значения: 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Очевидно, если снабдить вершины цикла поочередно знаками «+» и»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-», приписав вершине в свободной клетке знак «+», то можно сказать, что в вершинах со знаком «+»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прибавляется к прежнему значению неизвестного, находящегося в этой вершине, а в вершинах со знаком «-» это число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вычитается из прежнего значения неи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звестного, находящегося в этой вершине.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выбрать наименьшее из чисел, стоящих в вершинах, снабженных знаком «-», то, по крайней мере, одно из прежних базисных неизвестных примет значение нуль, и мы можем перевести его в число свободных неи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звестных, сделав вместо него базисным то неизвестное, которое было свободным.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например, в рассмотренном выше цикле имеем отрицательные вершины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; следовательно, выбрав х = min {80; 170} = 80, мы получаем: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старые значения: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80,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170,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0;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новые значения: 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т.е. вместо прежнего базисного решения получаем новое базисное решение: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4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Выбор в качестве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минимального среди чисел, стоящих в отрицательных вершинах цикла, обеспечивает допустимость нового базиса.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минимальное значение среди базисных неизвестных, стоящих в отрицательных вершинах цикла, принимается не в одной отрицательной вершине, то свободной оставляют только одну из них, а в других клетках с тем же минимальным значением пишут нули. В этом случае 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вое базисное решение будет вырожденным.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Может случиться, что и само минимальное значение среди чисел в отрицательных клетках равно нулю. Тогда преобразование таблицы перевозок сведется к перестановке этого нуля в свободную клетку. Значения всех неизвестных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этом остаются неизменными, но решения считаются различными, так как различны базисы. Оба решения вырождены.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Описанное выше преобразование таблицы перевозок, в результате которого преобразуется базис, называется пересчетом по циклу.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Заметим, что неизве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стные, не входящие в цикл, этим преобразованием не затрагиваются, их значения остаются неизменными и каждое из них остается либо в группе базисных, либо в группе свободных неизвестных, как и до пересчета.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Выясним теперь, как пересчет по циклу влияет на общ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объем затрат на перевозки и при каком условии эти затраты становятся меньше.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Пусть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некоторое свободное неизвестное, для которого мы построили цикл и осуществили пересчет по циклу с некоторым числом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Если вершине цикла, находящейся в i-й строке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j-м столбце таблицы перевозок, приписан знак «+», то значение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находящегося в этой вершине, увеличивается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в свою очередь вызывает увеличение затрат на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x, где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тариф, соответствующий этой клетке; если же указанной вершине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приписан знак «-», то значение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уменьшается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вызывает уменьшение затрат на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Сложим тарифы, соответствующие положительным вершинам цикла, и вычтем из этой суммы сумму тарифов, соответствующих отрицательным вершинам цикла; полу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ченную разность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назовем алгебраической суммой тарифов для данного свободного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Подсчет алгебраической суммы тарифов можно истолковать и так: припишем тарифам те же знаки, которые приписаны соответствующим вершинам цикла, тогда алгебраич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еская сумма тарифов равна сумме таких тарифов со знаком («относительных тарифов»).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Теперь, очевидно, мы можем, заключить, что в целом при пересчете но циклу, соответствующему свободному неизвестному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общий объем затрат на перевозки изменится на произвед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ение алгебраической суммы тарифов 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на величину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x. Следовательно, если алгебраическая сумма тарифов для некоторого свободного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отрицательна (S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&lt; 0), то пересчет по циклу, соответствующему этому неизвестному, приводит к уменьшен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общей суммы затрат на реализацию плана перевозок. Если же алгебраическая сумма тарифов положительна (S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&gt; 0), то пересчет по соответствующему циклу приведет к увеличению общей суммы затрат. И, наконец, если алгебраическая сумма тарифов равна нулю (S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0), то пересчет по соответствующему циклу не изменит общую сумму затрат (два различных базисных плана требуют одинаковых затрат на их реализацию).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например, для цикла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рассмотренной задаче алгебраическая сумма тарифов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Значит, пересчет по этому циклу снижает расходы. И действительно, осуществив такой пересчет, мы получаем план, по которому объем перевозок в тонно-километрах составляет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тогда как по исходному плану он составил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= 30650. Имеем снижение объема перевозок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1200 тонно-километров, что и следовало ожидать, так как алгебраическая сумма тарифов в данном случае равна -15, а пересчет по циклу осуществляется с помощью числа х = 80 (изменение затрат равно -15*80 = - 1200).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Вычисление алгебраической суммы тарифов для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каждого из свободных неизвестных можно производить без построения соответствующего цикла, пользуясь, так называемыми, потенциалами. Припишем каждой базе A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некоторое число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каждому потребителю B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некоторое число 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что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+ 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тарифы, соответствующие клеткам, заполненным базисными неизвестными. Эти числа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j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называются потенциалами соответствующих баз и потребителей.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Зная потенциалы, легко вычислить алгебраическую сумму тарифов. Действительно, если в алгебраической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умме тарифов по циклу, соответствующему свободному неизвестному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заменить тарифы базисных клеток их выражениями через потенциалы по формулам (3.6), то, в силу чередования знаков при вершинах цикла, все потенциалы, кроме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сократятся, и мы получим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c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(u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+ v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например, для цикла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21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рассмотренной выше задаче имеем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базисных клеток сумма потенциалов строки и столбца, в которых находится эта клетка, равна тарифу, соответствующему этой клетке; если же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для неизвестного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свободная, то сумму потенциалов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называют косвенным тарифом этой клетки. Следовательно, алгебраическая сумма тарифов для свободной клетки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pq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равна разности ее настоящего («истинного») и косвенного тарифов: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(3.8) следует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если косвенный тариф для данной свободной клетки больше её истинного тарифа, то алгебраическая сумма тарифов по циклу, соответствующему этой клетке, будет отрицательна; если же косвенный тариф меньше истинного, то алгебраическая сумма тарифов положит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ельна, и, наконец, если косвенный тариф равен истинному, то алгебраическая сумма тарифов равна нулю.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Потенциалы можно найти из системы равенств (3.6), рассматривая их как систему (m + n - 1) уравнений с m+n неизвестными. Так как неизвестных здесь на единиц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больше, чем уравнений, то, по крайней мере, один из потенциалов мы можем выбрать произвольно, положив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например,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0; тогда остальные потенциалы легко определяются из уравнений (3.6).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для плана, полученного по диагональному методу в рассмотр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енной выше задаче, имеем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содержит семь уравнений с восемью неизвестными. Выбирая произвольно значение , находим последовательно из первых трех уравнений значения , затем из четвертого уравнения - , из пятого уравнения - , из шестого уравнения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наконец, из седьмого уравнения - 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Положив, например, u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0, получаем значения потенциалов: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Найдем теперь косвенные тарифы для свободных клеток и сравним их с истинными тарифами: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 xml:space="preserve"> 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клеток с неизвестными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x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 xml:space="preserve">32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косвенные тарифы больше исти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нных. Следовательно, для них мы будемиметь отрицательные алгебраические суммы тарифов: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Значение S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21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= -15 мы уже имели раньше, вычисляя алгебраическую сумму тарифов для этой клетки непосредственно по циклу.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Выводы: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Подсчитывая косвенные тарифы как сумм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 соответствующих потенциалов, полезно не пропускать и клетки с базисными неизвестными (заполненные клетки). Для этих клеток сумма потенциалов равна истинному тарифу; последнее может служить проверкой правильности найденных значении потенциалов.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зать, что если сумму всех затрат по данному плану перевозок выразить четырех свободные неизвестные, то коэффициент при каждом из таких неизвестных будет равен алгебраической сумме тарифов по циклу, соответствующему ей в таблице перевозок. Это еще раз подтв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ерждает, что пересчет по циклам является специфической формой применения симплекс-метода к решению транспортной задачи.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6. Парная регрессия и корреляция. Аппроксимация функций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 данным проведенного опроса восьми групп семей известны данные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расходов населения на продукты питания с уровнем доходов семьи.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5"/>
        <w:gridCol w:w="710"/>
        <w:gridCol w:w="712"/>
        <w:gridCol w:w="712"/>
        <w:gridCol w:w="712"/>
        <w:gridCol w:w="710"/>
        <w:gridCol w:w="712"/>
        <w:gridCol w:w="712"/>
        <w:gridCol w:w="7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Расходы на продукты питания, </w:t>
            </w:r>
            <w:r w:rsidR="002F6B8B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190500"/>
                  <wp:effectExtent l="0" t="0" r="0" b="0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тыс. руб.0,91,21,82,22,62,93,33,8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Доходы семьи, </w:t>
            </w:r>
            <w:r w:rsidR="002F6B8B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52400" cy="161925"/>
                  <wp:effectExtent l="0" t="0" r="0" b="0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тыс. руб.1,23,15,37,49,611,814,518,7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Предположим, что связь между доходами семьи и расходами на продукты питания линейная. Для подтверждения нашего предположения построим поле корреляции.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2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график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видно, что точки выстраиваются в некоторую прямую линию.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удобства дальнейших вычислений составим таблицу.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4"/>
        <w:gridCol w:w="780"/>
        <w:gridCol w:w="780"/>
        <w:gridCol w:w="912"/>
        <w:gridCol w:w="912"/>
        <w:gridCol w:w="780"/>
        <w:gridCol w:w="912"/>
        <w:gridCol w:w="950"/>
        <w:gridCol w:w="1296"/>
        <w:gridCol w:w="7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42875" cy="152400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52400" cy="190500"/>
                  <wp:effectExtent l="0" t="0" r="0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33375" cy="190500"/>
                  <wp:effectExtent l="0" t="0" r="0" b="0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66700"/>
                  <wp:effectExtent l="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95275"/>
                  <wp:effectExtent l="0" t="0" r="0" b="0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466725" cy="295275"/>
                  <wp:effectExtent l="0" t="0" r="0" b="0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85800" cy="400050"/>
                  <wp:effectExtent l="0" t="0" r="0" b="0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90500" cy="238125"/>
                  <wp:effectExtent l="0" t="0" r="0" b="0"/>
                  <wp:docPr id="121" name="Рисунок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1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, %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1,038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0,0190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9,61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1,357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0,0246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9,54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28,09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1,726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0,0055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16,28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54,76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2,079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0,0146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24,96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92,16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6,76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2,449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0,0228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139,24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8,41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2,818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0,0067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47,85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210,25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10,89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3,272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0,0008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71,06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349,69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14,44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3,978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-0,178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0,0317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4,68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71,6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208,71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885,24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50,83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18,717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-0,017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0,1257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Среднее значение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8,95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26,09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110,66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0,0157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152400"/>
                  <wp:effectExtent l="0" t="0" r="0" b="0"/>
                  <wp:docPr id="12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1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5,530,935-------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F6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28600" cy="228600"/>
                  <wp:effectExtent l="0" t="0" r="0" b="0"/>
                  <wp:docPr id="123" name="Рисунок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03103"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30,560,874-------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38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Рассчитаем параметры линейного уравнения парной регрессии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333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Для этого воспользуемся формулами (2.5):</w:t>
      </w:r>
      <w:r>
        <w:rPr>
          <w:rFonts w:ascii="Times New Roman CYR" w:hAnsi="Times New Roman CYR" w:cs="Times New Roman CYR"/>
          <w:color w:val="000000"/>
          <w:position w:val="-38"/>
          <w:sz w:val="28"/>
          <w:szCs w:val="28"/>
        </w:rPr>
        <w:br w:type="page"/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6000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86125" cy="2571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Получили уравнение: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33550" cy="3333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Т.е. с увеличением дохода семьи на 1000 руб. расходы на питание увеличиваются на 168 руб.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было указано выше, уравнение линейной регрессии всегда дополняется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показателем тесноты связи - линейным коэффициентом корреляции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952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42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19400" cy="57150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Близость коэффициента корреляции к 1 указывает на тесную линейную связь между признаками.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Коэффициент детерминации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31432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(примерно тот же результат получим, если воспользуемся формулой (2.7)) показывает, что уравнением регрессии объясняется 98,7% дисперсии результативного признака, а на долю прочих факторов приходится лишь 1,3%.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Оценим кач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ество уравнения регрессии в целом с помощью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-критерия Фишера. Сосчитаем фактическое значение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9050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-критерия: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position w:val="-42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57575" cy="6381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Табличное значение (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667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76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Так как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9527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признается статистическая значимость уравнения в целом.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оценки статистической значимости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оэффициентов регрессии и корреляции рассчитаем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8097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-критерий Стьюдента и доверительные интервалы каждого из показателей. Рассчитаем случайные ошибки параметров линейной регрессии и коэффициента корреляции 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81350" cy="9144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52725" cy="609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33800" cy="6572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14650" cy="60007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Фактические значения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8097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-статистик: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5429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5429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5429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Табличное значение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4775" cy="1809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-критерия Стьюдента при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числе степеней свободы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28700" cy="1905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7622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 как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76225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762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7622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признаем статистическую значимость параметров регрессии и показателя тесноты связи. Рассчитаем доверительные интервалы для парамет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 регрессии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16192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2190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7622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762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Получим, что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30480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3048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Средняя ошибка аппроксимации (находим с помощью столбца 10 таблицы 2.3;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57350" cy="7334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762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говорит о хорошем качестве уравнения регрессии, т.е. свидетельствует о хорошем подборе модели к исходным данным.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И, наконец, найдем прогнозное значение результативного фактора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3524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значении признака-фактор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а, составляющем 110% от среднего уровня 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52675" cy="2952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т.е. найдем расходы на питание, если доходы семьи составят 9,85 тыс. руб.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09875" cy="3524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(тыс. руб.)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Значит, если доходы семьи составят 9,845 тыс. руб., то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асходы на питание будут 2,490 тыс. руб.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Найдем доверительный интервал прогноза. Ошибка прогноза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10125" cy="6477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,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доверительный интервал (</w:t>
      </w:r>
      <w:r w:rsidR="002F6B8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4191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color w:val="000000"/>
          <w:sz w:val="28"/>
          <w:szCs w:val="28"/>
        </w:rPr>
        <w:t>):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3524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Т.е. прогноз является статистически надежным.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на одном графике изобразим исходные данные и линию регрессии: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br w:type="page"/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Рис. 3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7. Приложения теории графов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Пример.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графа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построим матрицу смежности А(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матрицу инцидентности В(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у графа 5 вершин и 6 ребер, то размеры матрицы А(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будут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×5,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матрицы В(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- </w:t>
      </w:r>
      <w:r>
        <w:rPr>
          <w:rFonts w:ascii="Times New Roman" w:hAnsi="Times New Roman" w:cs="Times New Roman"/>
          <w:color w:val="000000"/>
          <w:sz w:val="28"/>
          <w:szCs w:val="28"/>
        </w:rPr>
        <w:t>5×6.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11430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1907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графе 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есть ребро, соединяющее вершины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2286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графе 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есть ребро, соединяющее вершины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22860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графе 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нет ребра, соединяющего вершины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1907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8096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190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- концевая вершина для ребра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190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- концевая вершина для ребра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66800" cy="2571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является концевой вершиной для ребра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 и т.д.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Пример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орграфа Д построим матрицу смежности А(Д) и матрицу инцидентности В(Д).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Орграф Д содержит 5 вершин и 6 дуг, поэтому размеры матрицы А(Д) будут 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×5,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 матрицы В(Д) - </w:t>
      </w:r>
      <w:r>
        <w:rPr>
          <w:rFonts w:ascii="Times New Roman" w:hAnsi="Times New Roman" w:cs="Times New Roman"/>
          <w:color w:val="000000"/>
          <w:sz w:val="28"/>
          <w:szCs w:val="28"/>
        </w:rPr>
        <w:t>5×6.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11430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190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оргра</w:t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ф Д не содержит дуги из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286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орграф Д содержит дугу из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2860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и т.д.</w:t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8953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F6B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190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 вершине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заканчивается дуга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190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в вершине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начинается дуга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286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вершина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является концевой вершиной для дуги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103">
        <w:rPr>
          <w:rFonts w:ascii="Times New Roman CYR" w:hAnsi="Times New Roman CYR" w:cs="Times New Roman CYR"/>
          <w:color w:val="000000"/>
          <w:sz w:val="28"/>
          <w:szCs w:val="28"/>
        </w:rPr>
        <w:t>. И т.д.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8. Задача определения кратчайшего пути</w:t>
      </w:r>
    </w:p>
    <w:p w:rsidR="00000000" w:rsidRDefault="00803103">
      <w:pPr>
        <w:widowControl w:val="0"/>
        <w:shd w:val="clear" w:color="auto" w:fill="FFFFFF"/>
        <w:tabs>
          <w:tab w:val="left" w:pos="3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Задача состоит в том, чтобы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айти кратчайший путь на графе от какой-то выделенной вершины до любой другой вершины.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Задача 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Узел 7 - склад, остальные узлы - строительные площадки компании. Показатели на дугах - расстояния в километрах.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Надо найти кратчайшие расстояния от склада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каждой строительной площадки. Какова длина кратчайшего пути от склада до строительной площадки 1? Проходит ли кратчайший путь от склада к строительной площадке 1 через строительную площадку 2? Какова длина кратчайшего пути от склада до строительной площа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дки 2? Проходит ли кратчайший путь от склада к строительной площадке 2 через строительную площадку 4?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Решим эту задачу методом присвоения меток. Каждому узлу присваиваем метку из двух чисел. Первое число - это минимальное расстояние от узла 7 до данного уз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ла, второе - номер предыдущего узла на пути от узла 7 к данному узлу. Узел, для которого мы определили путь от узла 7, назовем помеченным. Узел, для которого такой путь еще не определен, назовем непомеченным. Если мы определили кратчайшее расстояние от узл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7 до данного узла, то соответствующую метку назовем постоянной и будем обозначать в круглых скобках. Все остальные метки назовем временными и будем обозначать в квадратных скобках. Узлы с постоянными метками будем закрашивать.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узлу 7 присваиваем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тку (0,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), где 0 - это расстояние от узла 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обозначение стартового узла.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5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 7 связан с узлами 2, 4, 6. Длины соответствующих ребер - 17, 5, 6. Поэтому узлам 2, 4, 6 присваиваем временные метки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[17, 7], [5, 7], [6, 7] соответственно (первое число - длина пути от узла 7 до данного узла, а второе - это предшествующий узел).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выполнения этой операции можно сделать два следующих шага:</w:t>
      </w:r>
    </w:p>
    <w:p w:rsidR="00000000" w:rsidRDefault="00803103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найти участок (участки) минимальной длины и соответствую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щую временную метку (метки) сделать постоянной;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узел (узлы), которому соответствует появившаяся постоянная метка, становится новым стартом.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выполнения этой операции временная метка с наименьшим расстоянием до узла 7 становится постоянной. Это метка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(5, 7) узла 4. Поэтому следующий шаг мы начнем с узла 4.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 4 непосредственно связан с узлами 2 и 5 без постоянных меток. Длина ребра 4-5 равна 4, метка узла 4 - (5, 7) =&gt; временная метка узла 5 равна [5+4, 4] = [9, 4]. Длина ребра 4-2 равна 6, метка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узла 4 - (5, 7) =&gt; временная метка узла 2 равна [5+6, 4] = [11, 4]. Таким образом, мы нашли путь от узла 7 до узла 2 длины 11.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 2 пока помечен меткой [17, 7] (путь длины 17), но 11 &lt; 17 =&gt; старую метку [17, 7] узла 2 мы меняем на новую временную метк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 [11, 4], где 11 - это длина пути от узла 7 до узла 2, а 4 - номер предшествующего узла.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этого из всех временных меток [11, 4], [9, 4], [6, 7] выбираем метку с наименьшим первым числом. Это [6, 7]. Эта метка становится постоянной, а очередной шаг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начнем с узла, соответствующего этой метке, - узла 6.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25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узел связан с узлом 5 без постоянной метки. Длина ребра 6-5 равна 2, метка узла 6 - (6, 7) =&gt; метка узла 5 равна [6+2, 6] = [8, 6]. Но узел 5 уже помечен меткой [9, 4]. Так как 8 &lt; 9, то узлу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припишем новую метку - [8, 6]. После этого из всех временных меток [11, 4] и [8, 6] метку с наименьшим первым числом (8, 6) объявляем постоянной, а следующий шаг начнем с соответствующего ей узла 5.</w:t>
      </w:r>
    </w:p>
    <w:p w:rsidR="00000000" w:rsidRDefault="00803103">
      <w:pPr>
        <w:widowControl w:val="0"/>
        <w:shd w:val="clear" w:color="auto" w:fill="FFFFFF"/>
        <w:tabs>
          <w:tab w:val="left" w:pos="3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25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 5 связан только с одним узлом без постоянной 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 - узлом 3. Длина ребра 5-3 равна 4, метка узла 5 - (8, 6) =&gt; узлу 3 припишем временную метку [8+4, 5] = [12, 5]. Теперь из всех временных меток [11, 4] и [12, 5] метку с наименьшим первым числом [11, 4] объявляем постоянной, а следующий шаг начнем с соо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тветствующего ей узла 2.</w:t>
      </w: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2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Узел 2 связан с узлами 1 и 3 без постоянных меток. Длина ребра 2-1 равна 15, метка узла 2 - (11, 4) =&gt; узлу 1 припишем временную метку [11+15, 2] = [26, 2]. Длина ребра 2-3 равна 3, метка узла 2 - (11, 4) =&gt;мы могли бы пометить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узел 3 меткой [11+3, 2] = [14, 2], но узел 3 уже помечен меткой [12, 5] с меньшим первым числом. Так что метку узла 3 не меняем. Теперь из временных меток [26, 2] и [12, 5] метка с наименьшим первым числом становится постоянной (12, 5), а с соответствующе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ей узла 3 начнем следующий шаг. Метку узла 1 меняем на (12+10, 3) = (22, 3). Всем узлам приписаны постоянные метки. Действие алгоритма прекращается.</w:t>
      </w:r>
    </w:p>
    <w:p w:rsidR="00000000" w:rsidRDefault="008031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tabs>
          <w:tab w:val="left" w:pos="327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число метки у каждой вершины - это длина кратчайшего пути от узла 7 до данной вершины. Чтобы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осстановить кратчайший путь от узла 7 до какой-то вершины, мы должны из этой вершины перейти всоседнюю (ее номер - это второе число метки). И т.д. до вершины 7.</w:t>
      </w:r>
    </w:p>
    <w:p w:rsidR="00803103" w:rsidRDefault="0080310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Теперь мы можем ответить на вопросы задачи. Метка узла 1 - (22, 3) =&gt; длина кратчайшего пути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узла 7 до узла 1 равна 22. Из узла 1 мы идем в узел 3. Метка узла 3 - (12, 5) =&gt; идем в узел 5. Метка узла 5 - (8, 6) =&gt; идем в узел 6. Метка узла 6 - (6, 7) =&gt; идем в узел 7, то есть кратчайший путь 1-3-5-6-7. Он не проходит через узел 2. Аналогично реша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ются другие вопросы</w:t>
      </w:r>
    </w:p>
    <w:sectPr w:rsidR="008031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8B"/>
    <w:rsid w:val="002F6B8B"/>
    <w:rsid w:val="0080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A62291-FBD3-4533-A3F0-C7B309A3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2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5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119" Type="http://schemas.openxmlformats.org/officeDocument/2006/relationships/image" Target="media/image115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png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oleObject" Target="embeddings/oleObject1.bin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80" Type="http://schemas.openxmlformats.org/officeDocument/2006/relationships/image" Target="media/image17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7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7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0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0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6928</Words>
  <Characters>39493</Characters>
  <Application>Microsoft Office Word</Application>
  <DocSecurity>0</DocSecurity>
  <Lines>329</Lines>
  <Paragraphs>92</Paragraphs>
  <ScaleCrop>false</ScaleCrop>
  <Company/>
  <LinksUpToDate>false</LinksUpToDate>
  <CharactersWithSpaces>46329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2025-02-14T07:27:00Z</dcterms:created>
  <dcterms:modified xsi:type="dcterms:W3CDTF">2025-02-14T07:27:00Z</dcterms:modified>
</cp:coreProperties>
</file>