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D3A9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C46B43E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F7D6AB0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972DCAB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6887A30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CC47D1E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900E780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BE003A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E1B8C09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1D7FC60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5F9D72C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CC0AD31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6C11475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83A964E" w14:textId="77777777" w:rsidR="00000000" w:rsidRDefault="003F5E0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Основы выбора мощности и особенность оптимизации работы ГЭУ-2 часа</w:t>
      </w:r>
    </w:p>
    <w:p w14:paraId="7AA52B50" w14:textId="77777777" w:rsidR="00000000" w:rsidRDefault="003F5E0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План</w:t>
      </w:r>
    </w:p>
    <w:p w14:paraId="2D7B9B5E" w14:textId="77777777" w:rsidR="00000000" w:rsidRDefault="003F5E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A043000" w14:textId="77777777" w:rsidR="00000000" w:rsidRDefault="003F5E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Гидротехнические сооружения</w:t>
      </w:r>
    </w:p>
    <w:p w14:paraId="0DB25B73" w14:textId="77777777" w:rsidR="00000000" w:rsidRDefault="003F5E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Водохозяйственный и водноэнергетический комплекс</w:t>
      </w:r>
    </w:p>
    <w:p w14:paraId="0E6B108A" w14:textId="77777777" w:rsidR="00000000" w:rsidRDefault="003F5E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Эффективность работы гидротурбинной установки</w:t>
      </w:r>
    </w:p>
    <w:p w14:paraId="3C6635BB" w14:textId="77777777" w:rsidR="00000000" w:rsidRDefault="003F5E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Эксплуатационные универсальные ха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рактеристики</w:t>
      </w:r>
    </w:p>
    <w:p w14:paraId="3828183B" w14:textId="77777777" w:rsidR="00000000" w:rsidRDefault="003F5E0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рекомендуемой литературы</w:t>
      </w:r>
    </w:p>
    <w:p w14:paraId="75366C57" w14:textId="77777777" w:rsidR="00000000" w:rsidRDefault="003F5E06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Гидротехнические сооружения</w:t>
      </w:r>
    </w:p>
    <w:p w14:paraId="43E74ECD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C6D86E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Гидроэлектростанция является составной частью гидроузла, в который, кроме станции, входят водоподпорные и водосбросные сооружения, судоходные сооружения (на судоходных реках), ра</w:t>
      </w:r>
      <w:r>
        <w:rPr>
          <w:color w:val="000000"/>
          <w:sz w:val="28"/>
          <w:szCs w:val="28"/>
          <w:lang w:val="ru-RU"/>
        </w:rPr>
        <w:t>зличного назначения защитные сооружения, водохранилища или верхние бьефы водозаборных узлов.</w:t>
      </w:r>
    </w:p>
    <w:p w14:paraId="3669B227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новом строительстве разработка проекта гидроэлектростанции производится, как правило, на гидроузел в целом, с комплексным решением всех технических, природоохр</w:t>
      </w:r>
      <w:r>
        <w:rPr>
          <w:color w:val="000000"/>
          <w:sz w:val="28"/>
          <w:szCs w:val="28"/>
          <w:lang w:val="ru-RU"/>
        </w:rPr>
        <w:t>анных, водохозяйственных, водноэнергетических, социальных и экономических проблем, возникающих в результате строительства гидроузла.</w:t>
      </w:r>
    </w:p>
    <w:p w14:paraId="0FE452DE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выбранных параметрах гидроузла на основании комплексного рассмотрения всех аспектов, перечисленных выше, реализация его</w:t>
      </w:r>
      <w:r>
        <w:rPr>
          <w:color w:val="000000"/>
          <w:sz w:val="28"/>
          <w:szCs w:val="28"/>
          <w:lang w:val="ru-RU"/>
        </w:rPr>
        <w:t xml:space="preserve"> энергетического потенциала на ГЭС производится в возможно полном объеме при энергоэкономической оптимизации соотношения объема холостых сбросов речного стока и параметров гидроэлектростанции и намечаемого режима ее использования в энергосистеме.</w:t>
      </w:r>
    </w:p>
    <w:p w14:paraId="454BDA2D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 ГЭС</w:t>
      </w:r>
      <w:r>
        <w:rPr>
          <w:color w:val="000000"/>
          <w:sz w:val="28"/>
          <w:szCs w:val="28"/>
          <w:lang w:val="ru-RU"/>
        </w:rPr>
        <w:t>, ее расположение и состав сооружений определяется назначением гидроузла, его параметрами, природными условиями площадки расположения гидроузла на основании технико-экономического сопоставления возможных вариантов технического решения.</w:t>
      </w:r>
    </w:p>
    <w:p w14:paraId="09FDCDC9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техниче</w:t>
      </w:r>
      <w:r>
        <w:rPr>
          <w:color w:val="000000"/>
          <w:sz w:val="28"/>
          <w:szCs w:val="28"/>
          <w:lang w:val="ru-RU"/>
        </w:rPr>
        <w:t>ского, энергетического, экономического анализа строительства гидроузла и выявления его параметров должны быть установлены следующие характеристики комплексного гидроузла и входящей в его состав ГЭС:</w:t>
      </w:r>
    </w:p>
    <w:p w14:paraId="68CC5EE6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отметка НПУ водохранилища (водозабора);</w:t>
      </w:r>
    </w:p>
    <w:p w14:paraId="03619751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полезный объем и </w:t>
      </w:r>
      <w:r>
        <w:rPr>
          <w:color w:val="000000"/>
          <w:sz w:val="28"/>
          <w:szCs w:val="28"/>
          <w:lang w:val="ru-RU"/>
        </w:rPr>
        <w:t>глубина сработки водохранилища;</w:t>
      </w:r>
    </w:p>
    <w:p w14:paraId="51F6B845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форсированный подпорный уровень, резервный объем водохранилища;</w:t>
      </w:r>
    </w:p>
    <w:p w14:paraId="0108119A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расчетный напор для оборудования ГЭС;</w:t>
      </w:r>
    </w:p>
    <w:p w14:paraId="2D97EEF4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 станции и водопроводящих сооружений;</w:t>
      </w:r>
    </w:p>
    <w:p w14:paraId="38B6CE59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установленная мощность ГЭС и режим ее использования;</w:t>
      </w:r>
    </w:p>
    <w:p w14:paraId="58170B27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выработка электроэнергии;</w:t>
      </w:r>
    </w:p>
    <w:p w14:paraId="0713BF06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</w:t>
      </w:r>
      <w:r>
        <w:rPr>
          <w:color w:val="000000"/>
          <w:sz w:val="28"/>
          <w:szCs w:val="28"/>
          <w:lang w:val="ru-RU"/>
        </w:rPr>
        <w:t>п, параметры и количество агрегатов.</w:t>
      </w:r>
    </w:p>
    <w:p w14:paraId="1B93F338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 гидротехнических сооружений ГЭС и ГАЭС в зависимости от их социальной экономической ответственности, последствий возможных гидродинамических аварий и условий эксплуатации принимается по нижеследующей таблице 1.</w:t>
      </w:r>
    </w:p>
    <w:p w14:paraId="15E65B00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3DD68F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аблица 1 - Объекты гидротехнического строительства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728"/>
      </w:tblGrid>
      <w:tr w:rsidR="00000000" w14:paraId="52C34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F154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Класс основных сооружений 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2B5D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Гидротехнические сооружения гидравлических, гидроаккумулирующих электростанций установленной мощностью, МВт: </w:t>
            </w:r>
          </w:p>
        </w:tc>
      </w:tr>
      <w:tr w:rsidR="00000000" w14:paraId="57459F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8110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0CC5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более 1000</w:t>
            </w:r>
          </w:p>
        </w:tc>
      </w:tr>
      <w:tr w:rsidR="00000000" w14:paraId="1C635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A62D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E357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300 до 1000</w:t>
            </w:r>
          </w:p>
        </w:tc>
      </w:tr>
      <w:tr w:rsidR="00000000" w14:paraId="242693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00B8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III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52D5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10 до 300</w:t>
            </w:r>
          </w:p>
        </w:tc>
      </w:tr>
      <w:tr w:rsidR="00000000" w14:paraId="227534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60FF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IV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FD10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и менее</w:t>
            </w:r>
          </w:p>
        </w:tc>
      </w:tr>
    </w:tbl>
    <w:p w14:paraId="0565CC2B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5649F1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Класс гидротехнических сооружений ГЭС установленной мощностью менее 1000 МВт следует повышать на единицу в случае, если эти электростанции изолированы от энергетических систем и обслуживают крупные населенные пункты, промышленные предприятия, транспорт и </w:t>
      </w:r>
      <w:r>
        <w:rPr>
          <w:color w:val="000000"/>
          <w:sz w:val="28"/>
          <w:szCs w:val="28"/>
          <w:lang w:val="ru-RU"/>
        </w:rPr>
        <w:t>других потребителей.</w:t>
      </w:r>
    </w:p>
    <w:p w14:paraId="625F5E7E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 гидротехнических сооружений гидроэлектростанций руслового и приплотинного типа, создающих напорный фронт гидроузла, устанавливается в зависимости от высоты и типа грунтов основания в соответствии с таблицей 2.</w:t>
      </w:r>
    </w:p>
    <w:p w14:paraId="7FB8ED99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800103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2 - Гидрот</w:t>
      </w:r>
      <w:r>
        <w:rPr>
          <w:color w:val="000000"/>
          <w:sz w:val="28"/>
          <w:szCs w:val="28"/>
          <w:lang w:val="ru-RU"/>
        </w:rPr>
        <w:t>ехнические сооружения ГЭС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1432"/>
        <w:gridCol w:w="1508"/>
        <w:gridCol w:w="1147"/>
        <w:gridCol w:w="1151"/>
        <w:gridCol w:w="1534"/>
      </w:tblGrid>
      <w:tr w:rsidR="00000000" w14:paraId="4BB5DA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C8CC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Сооружения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2BED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Тип грунтов основания</w:t>
            </w:r>
          </w:p>
        </w:tc>
        <w:tc>
          <w:tcPr>
            <w:tcW w:w="5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F9A5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Высота сооружений, м, при их классе</w:t>
            </w:r>
          </w:p>
        </w:tc>
      </w:tr>
      <w:tr w:rsidR="00000000" w14:paraId="3FCFB8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2220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E35D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5A67" w14:textId="77777777" w:rsidR="00000000" w:rsidRDefault="003F5E0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DF4E" w14:textId="77777777" w:rsidR="00000000" w:rsidRDefault="003F5E0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B4E3" w14:textId="77777777" w:rsidR="00000000" w:rsidRDefault="003F5E0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448D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000000" w14:paraId="3F6835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9AD7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Русловые и приплотинные ГЭС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DD35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0F72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более 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7668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60 до 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667F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25 до 60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F380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менее 25</w:t>
            </w:r>
          </w:p>
        </w:tc>
      </w:tr>
      <w:tr w:rsidR="00000000" w14:paraId="6BE371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FB07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F502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5A25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более 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0034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25 до 50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9EA9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10 до 25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9615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менее 10</w:t>
            </w:r>
          </w:p>
        </w:tc>
      </w:tr>
      <w:tr w:rsidR="00000000" w14:paraId="0B93F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2AD5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E38D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7E94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более 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AC0A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20 до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BEEC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 10 до 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1B8E" w14:textId="77777777" w:rsidR="00000000" w:rsidRDefault="003F5E0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менее 10</w:t>
            </w:r>
          </w:p>
        </w:tc>
      </w:tr>
    </w:tbl>
    <w:p w14:paraId="4755A1EE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320B6A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Примечание:</w:t>
      </w:r>
    </w:p>
    <w:p w14:paraId="09ECC730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Грунты: А - скальные; Б - песчаные, крупнообломочные и глинистые в твердом и полутвердом состоянии; В - глинистые водонасыщенные в пластичном состоянии.</w:t>
      </w:r>
    </w:p>
    <w:p w14:paraId="5BA24292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гидротехнические сооружения ГЭС относятся к основным.</w:t>
      </w:r>
    </w:p>
    <w:p w14:paraId="7AE0B579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ф</w:t>
      </w:r>
      <w:r>
        <w:rPr>
          <w:color w:val="000000"/>
          <w:sz w:val="28"/>
          <w:szCs w:val="28"/>
          <w:lang w:val="ru-RU"/>
        </w:rPr>
        <w:t>ормировании требований к выбору состава и компоновки основного и вспомогательного оборудования гидроэлектростанции, в том числе при проектировании пусковых комплексов, необходимо предусматривать возможность работы оборудования в условиях принимаемых схем п</w:t>
      </w:r>
      <w:r>
        <w:rPr>
          <w:color w:val="000000"/>
          <w:sz w:val="28"/>
          <w:szCs w:val="28"/>
          <w:lang w:val="ru-RU"/>
        </w:rPr>
        <w:t>ропуска строительных и эксплуатационных расходов воды и гашения энергии сбросного потока в нижнем бьефе в условиях отрицательных температур.</w:t>
      </w:r>
    </w:p>
    <w:p w14:paraId="199EEC61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0DEFDD0" w14:textId="77777777" w:rsidR="00000000" w:rsidRDefault="003F5E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 Водохозяйственный и водноэнергетический комплекс</w:t>
      </w:r>
    </w:p>
    <w:p w14:paraId="05BBCD5D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C21020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и обоснование водноэнергетического потенциала ГЭС и вс</w:t>
      </w:r>
      <w:r>
        <w:rPr>
          <w:color w:val="000000"/>
          <w:sz w:val="28"/>
          <w:szCs w:val="28"/>
          <w:lang w:val="ru-RU"/>
        </w:rPr>
        <w:t>его водохозяйственного комплекса должна производиться с соблюдением следующих требований к исходным данным, их анализу и обработке.</w:t>
      </w:r>
    </w:p>
    <w:p w14:paraId="7FF16875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гидрологическим данным для изолированной ГЭС:</w:t>
      </w:r>
    </w:p>
    <w:p w14:paraId="6B41405A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многолетний ряд средних декадных и/или месячных расходов воды в с</w:t>
      </w:r>
      <w:r>
        <w:rPr>
          <w:color w:val="000000"/>
          <w:sz w:val="28"/>
          <w:szCs w:val="28"/>
          <w:lang w:val="ru-RU"/>
        </w:rPr>
        <w:t>творе или вблизи створа проектируемой ГЭС или в пункте наблюдений ближайшем к этому створу;</w:t>
      </w:r>
    </w:p>
    <w:p w14:paraId="414EA5AC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многолетний ряд максимальных среднесуточных или мгновенных (срочных) расходов весеннего половодья или летних паводков.</w:t>
      </w:r>
    </w:p>
    <w:p w14:paraId="01367D66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гидрологическим данным для каска</w:t>
      </w:r>
      <w:r>
        <w:rPr>
          <w:color w:val="000000"/>
          <w:sz w:val="28"/>
          <w:szCs w:val="28"/>
          <w:lang w:val="ru-RU"/>
        </w:rPr>
        <w:t>дно расположенных ГЭС:</w:t>
      </w:r>
    </w:p>
    <w:p w14:paraId="2275513A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те же многолетние ряды в верхнем (входном) створе каскада и боковой приточности с водосборов между створами гидроузлов каскада;</w:t>
      </w:r>
    </w:p>
    <w:p w14:paraId="09B9E721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продолжительности первоначального наполнения водохранилища до отметки пуска агрегатов, УМО или НПУ</w:t>
      </w:r>
      <w:r>
        <w:rPr>
          <w:color w:val="000000"/>
          <w:sz w:val="28"/>
          <w:szCs w:val="28"/>
          <w:lang w:val="ru-RU"/>
        </w:rPr>
        <w:t xml:space="preserve"> в различных условиях.</w:t>
      </w:r>
    </w:p>
    <w:p w14:paraId="3BE49FCA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топографическим данным:</w:t>
      </w:r>
    </w:p>
    <w:p w14:paraId="4CD2CC74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кривые зависимости площади водного зеркала и объема воды в водохранилище от уровня воды в верхнем бьефе плотины;</w:t>
      </w:r>
    </w:p>
    <w:p w14:paraId="4DFA6BFC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поперечные сечения русла и поймы реки в нижнем бьефе ГЭС на участке ожидаемого влия</w:t>
      </w:r>
      <w:r>
        <w:rPr>
          <w:color w:val="000000"/>
          <w:sz w:val="28"/>
          <w:szCs w:val="28"/>
          <w:lang w:val="ru-RU"/>
        </w:rPr>
        <w:t>ния суточных колебаний уровня воды.</w:t>
      </w:r>
    </w:p>
    <w:p w14:paraId="1B0D8754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Требования к сведениям о существующем водохозяйственном комплексе и его предполагаемом изменении:</w:t>
      </w:r>
    </w:p>
    <w:p w14:paraId="710D60C1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 участников комплекса в верхнем и нижнем бьефах ГЭС и их требования к режиму расходов и уровней воды по сезонам;</w:t>
      </w:r>
    </w:p>
    <w:p w14:paraId="2945B1A5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</w:t>
      </w:r>
      <w:r>
        <w:rPr>
          <w:color w:val="000000"/>
          <w:sz w:val="28"/>
          <w:szCs w:val="28"/>
          <w:lang w:val="ru-RU"/>
        </w:rPr>
        <w:t>ременный и планируемый объем водопотребления из реки выше створа плотины и из будущего водохранилища.</w:t>
      </w:r>
    </w:p>
    <w:p w14:paraId="71BCBF36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установленной мощности ГЭС:</w:t>
      </w:r>
    </w:p>
    <w:p w14:paraId="71006443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водноэнергетические расчеты для установления зависимости годовой и сезонной выработки электроэнергии от установленной мо</w:t>
      </w:r>
      <w:r>
        <w:rPr>
          <w:color w:val="000000"/>
          <w:sz w:val="28"/>
          <w:szCs w:val="28"/>
          <w:lang w:val="ru-RU"/>
        </w:rPr>
        <w:t>щности ГЭС.</w:t>
      </w:r>
    </w:p>
    <w:p w14:paraId="3713630A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расчетного напора:</w:t>
      </w:r>
    </w:p>
    <w:p w14:paraId="7DCB447B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водноэнергетические расчеты к выбору расчетного напора с поступенным перебором в диапазоне: максимальный - средневзвешенный - минимальный с определением в каждом варианте расчетного напора глубины и продолжительности сн</w:t>
      </w:r>
      <w:r>
        <w:rPr>
          <w:color w:val="000000"/>
          <w:sz w:val="28"/>
          <w:szCs w:val="28"/>
          <w:lang w:val="ru-RU"/>
        </w:rPr>
        <w:t>ижения располагаемой мощности ГЭС ниже номинального значения.</w:t>
      </w:r>
    </w:p>
    <w:p w14:paraId="7A0F1851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типа и числа агрегатов:</w:t>
      </w:r>
    </w:p>
    <w:p w14:paraId="3024E286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водноэнергетические расчеты для оценки гарантированной и располагаемой мощности ГЭС применительно к рассматриваемым типам и единичной мощности агрегатов.</w:t>
      </w:r>
    </w:p>
    <w:p w14:paraId="1212F557" w14:textId="77777777" w:rsidR="00000000" w:rsidRDefault="003F5E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Эффек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тивность работы гидротурбинной установки</w:t>
      </w:r>
    </w:p>
    <w:p w14:paraId="7C5AC918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1E18A4A" w14:textId="77777777" w:rsidR="00000000" w:rsidRDefault="003F5E0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эксплуатации гидротурбинных установок должна быть обеспечена их бесперебойная работа с максимально возможным для заданной нагрузки и действующего напора коэффициентом полезного действия (КПД). Оборудование гидр</w:t>
      </w:r>
      <w:r>
        <w:rPr>
          <w:color w:val="000000"/>
          <w:sz w:val="28"/>
          <w:szCs w:val="28"/>
          <w:lang w:val="ru-RU"/>
        </w:rPr>
        <w:t>оэлектростанции должно быть в постоянной готовности к максимальной располагаемой нагрузке и работе в насосном режиме для оборудования гидроаккумулирующих станций.</w:t>
      </w:r>
    </w:p>
    <w:p w14:paraId="04831A5E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Бесперебойная работа гидротурбинных установок обеспечивает надежную работу гидроэлектростанци</w:t>
      </w:r>
      <w:r>
        <w:rPr>
          <w:color w:val="000000"/>
          <w:sz w:val="28"/>
          <w:szCs w:val="28"/>
          <w:lang w:val="ru-RU"/>
        </w:rPr>
        <w:t>й (ГЭС) по выработке электроэнергии в соответствии с заданной ей нагрузкой или заданным режимом автоматического регулирования мощности, частоты или перетока мощности по линиям электропередачи, а также постоянную готовность резервных гидроагрегатов к принят</w:t>
      </w:r>
      <w:r>
        <w:rPr>
          <w:color w:val="000000"/>
          <w:sz w:val="28"/>
          <w:szCs w:val="28"/>
          <w:lang w:val="ru-RU"/>
        </w:rPr>
        <w:t>ию нагрузки.</w:t>
      </w:r>
    </w:p>
    <w:p w14:paraId="349747B0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надежностью понимается способность оборудования работать безотказно. При этом отказом считается событие, которое нарушает работоспособность оборудования и отдельных его узлов и при котором их параметры выходят за пределы допустимых значени</w:t>
      </w:r>
      <w:r>
        <w:rPr>
          <w:color w:val="000000"/>
          <w:sz w:val="28"/>
          <w:szCs w:val="28"/>
          <w:lang w:val="ru-RU"/>
        </w:rPr>
        <w:t>й и не выполняются заданные функции.</w:t>
      </w:r>
    </w:p>
    <w:p w14:paraId="2AA605FA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Хорошо запроектированное, изготовленное, смонтированное и правильно эксплуатируемое оборудование в течение расчетного периода не должно отказывать в работе. Однако, как показывает опыт, вероятность безотказной работы, к</w:t>
      </w:r>
      <w:r>
        <w:rPr>
          <w:color w:val="000000"/>
          <w:sz w:val="28"/>
          <w:szCs w:val="28"/>
          <w:lang w:val="ru-RU"/>
        </w:rPr>
        <w:t>ак правило, не достигает 100 %.</w:t>
      </w:r>
    </w:p>
    <w:p w14:paraId="3E4015E5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Частота, с которой происходят отказы оборудования, является одним из параметров математического определения надежности и называется интенсивностью отказов. Интенсивность отказов измеряется числом отказов за определенный пери</w:t>
      </w:r>
      <w:r>
        <w:rPr>
          <w:color w:val="000000"/>
          <w:sz w:val="28"/>
          <w:szCs w:val="28"/>
          <w:lang w:val="ru-RU"/>
        </w:rPr>
        <w:t>од (например за 1000 ч) работы устройства.</w:t>
      </w:r>
    </w:p>
    <w:p w14:paraId="3B94D65F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Свойство оборудования сохранять работоспособность до наступления </w:t>
      </w:r>
      <w:r>
        <w:rPr>
          <w:color w:val="000000"/>
          <w:sz w:val="28"/>
          <w:szCs w:val="28"/>
          <w:lang w:val="ru-RU"/>
        </w:rPr>
        <w:lastRenderedPageBreak/>
        <w:t>предельного состояния при установленной системе технического обслуживания и ремонта называется долговечностью.</w:t>
      </w:r>
    </w:p>
    <w:p w14:paraId="57F0CEBB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Приспособленность установки к предупр</w:t>
      </w:r>
      <w:r>
        <w:rPr>
          <w:color w:val="000000"/>
          <w:sz w:val="28"/>
          <w:szCs w:val="28"/>
          <w:lang w:val="ru-RU"/>
        </w:rPr>
        <w:t>еждению, обнаружению и устранению причин отказов характеризует ее ремонтопригодность.</w:t>
      </w:r>
    </w:p>
    <w:p w14:paraId="4C37BC11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характеристики надежности гидротурбин (гидроагрегатов) используется такой показатель, как коэффициент технического использования К</w:t>
      </w:r>
      <w:r>
        <w:rPr>
          <w:color w:val="000000"/>
          <w:sz w:val="28"/>
          <w:szCs w:val="28"/>
          <w:vertAlign w:val="subscript"/>
          <w:lang w:val="ru-RU"/>
        </w:rPr>
        <w:t>ти</w:t>
      </w:r>
      <w:r>
        <w:rPr>
          <w:color w:val="000000"/>
          <w:sz w:val="28"/>
          <w:szCs w:val="28"/>
          <w:lang w:val="ru-RU"/>
        </w:rPr>
        <w:t>:</w:t>
      </w:r>
    </w:p>
    <w:p w14:paraId="1136B3BE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9A3226" w14:textId="4C1C8539" w:rsidR="00000000" w:rsidRDefault="0051318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19FC40" wp14:editId="1769ACF2">
            <wp:extent cx="15144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E06">
        <w:rPr>
          <w:color w:val="000000"/>
          <w:sz w:val="28"/>
          <w:szCs w:val="28"/>
          <w:lang w:val="ru-RU"/>
        </w:rPr>
        <w:t xml:space="preserve"> &lt;http://foraenergy.ru/wp-content/uploads/2011/06/koefficient-tehnicheskogo-ispolzovaniya-e1307906981776.jpg&gt;</w:t>
      </w:r>
    </w:p>
    <w:p w14:paraId="0882C981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</w:p>
    <w:p w14:paraId="1C790A58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Т</w:t>
      </w:r>
      <w:r>
        <w:rPr>
          <w:color w:val="000000"/>
          <w:sz w:val="28"/>
          <w:szCs w:val="28"/>
          <w:vertAlign w:val="subscript"/>
          <w:lang w:val="ru-RU"/>
        </w:rPr>
        <w:t>КАЛ</w:t>
      </w:r>
      <w:r>
        <w:rPr>
          <w:color w:val="000000"/>
          <w:sz w:val="28"/>
          <w:szCs w:val="28"/>
          <w:lang w:val="ru-RU"/>
        </w:rPr>
        <w:t xml:space="preserve"> - календарный период наблюдения, принимаемый при анализе надежности равным одному году (8760 ч);</w:t>
      </w:r>
    </w:p>
    <w:p w14:paraId="6A8E9973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vertAlign w:val="subscript"/>
          <w:lang w:val="ru-RU"/>
        </w:rPr>
        <w:t>ГЕН</w:t>
      </w:r>
      <w:r>
        <w:rPr>
          <w:color w:val="000000"/>
          <w:sz w:val="28"/>
          <w:szCs w:val="28"/>
          <w:lang w:val="ru-RU"/>
        </w:rPr>
        <w:t xml:space="preserve"> - суммарное число часов работы гидроагрегата в генераторном режиме за период Т</w:t>
      </w:r>
      <w:r>
        <w:rPr>
          <w:color w:val="000000"/>
          <w:sz w:val="28"/>
          <w:szCs w:val="28"/>
          <w:vertAlign w:val="subscript"/>
          <w:lang w:val="ru-RU"/>
        </w:rPr>
        <w:t>кал</w:t>
      </w:r>
      <w:r>
        <w:rPr>
          <w:color w:val="000000"/>
          <w:sz w:val="28"/>
          <w:szCs w:val="28"/>
          <w:lang w:val="ru-RU"/>
        </w:rPr>
        <w:t>;</w:t>
      </w:r>
    </w:p>
    <w:p w14:paraId="7BA1B58D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vertAlign w:val="subscript"/>
          <w:lang w:val="ru-RU"/>
        </w:rPr>
        <w:t>ск</w:t>
      </w:r>
      <w:r>
        <w:rPr>
          <w:color w:val="000000"/>
          <w:sz w:val="28"/>
          <w:szCs w:val="28"/>
          <w:lang w:val="ru-RU"/>
        </w:rPr>
        <w:t xml:space="preserve"> - суммарное число часов работы гидроагрегата в режиме синхронного компенсатора за период Т</w:t>
      </w:r>
      <w:r>
        <w:rPr>
          <w:color w:val="000000"/>
          <w:sz w:val="28"/>
          <w:szCs w:val="28"/>
          <w:vertAlign w:val="subscript"/>
          <w:lang w:val="ru-RU"/>
        </w:rPr>
        <w:t>кал</w:t>
      </w:r>
    </w:p>
    <w:p w14:paraId="05BEEE31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К</w:t>
      </w:r>
      <w:r>
        <w:rPr>
          <w:color w:val="000000"/>
          <w:sz w:val="28"/>
          <w:szCs w:val="28"/>
          <w:vertAlign w:val="subscript"/>
          <w:lang w:val="ru-RU"/>
        </w:rPr>
        <w:t>ти</w:t>
      </w:r>
      <w:r>
        <w:rPr>
          <w:color w:val="000000"/>
          <w:sz w:val="28"/>
          <w:szCs w:val="28"/>
          <w:lang w:val="ru-RU"/>
        </w:rPr>
        <w:t xml:space="preserve"> по всем ГЭС составляет в настоящее время 0,89 - 0,90.</w:t>
      </w:r>
    </w:p>
    <w:p w14:paraId="08C48CF8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Беспереб</w:t>
      </w:r>
      <w:r>
        <w:rPr>
          <w:color w:val="000000"/>
          <w:sz w:val="28"/>
          <w:szCs w:val="28"/>
          <w:lang w:val="ru-RU"/>
        </w:rPr>
        <w:t>ойная и надежная работа гидротурбинных установок в значительной степени зависит от уровня эксплуатации, своевременной реконструкции и модернизации оборудования, замены изношенных узлов, качества ремонтных и наладочных работ.</w:t>
      </w:r>
    </w:p>
    <w:p w14:paraId="7760BE49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организации эффективной и н</w:t>
      </w:r>
      <w:r>
        <w:rPr>
          <w:color w:val="000000"/>
          <w:sz w:val="28"/>
          <w:szCs w:val="28"/>
          <w:lang w:val="ru-RU"/>
        </w:rPr>
        <w:t>адежной эксплуатации гидротурбинных установок необходимо после комплексного их опробования (в период освоения) провести натурные испытания. Эти испытания позволят: выявить недостатки проектирования, изготовления и монтажа оборудования; проверить выполнение</w:t>
      </w:r>
      <w:r>
        <w:rPr>
          <w:color w:val="000000"/>
          <w:sz w:val="28"/>
          <w:szCs w:val="28"/>
          <w:lang w:val="ru-RU"/>
        </w:rPr>
        <w:t xml:space="preserve"> технических условий и заводских гарантий по энергетическим и механическим характеристикам, гарантий регулирования гидротурбин; проверить надежность отдельных узлов и гидроагрегатов в целом; установить оптимальные режимы и условия работы гидроагрегатов; оп</w:t>
      </w:r>
      <w:r>
        <w:rPr>
          <w:color w:val="000000"/>
          <w:sz w:val="28"/>
          <w:szCs w:val="28"/>
          <w:lang w:val="ru-RU"/>
        </w:rPr>
        <w:t>ределить действительные запасы статической и динамической устойчивости гидрогенераторов при параллельной работе в энергосистеме. Большая часть испытаний проводится специализированными организациями - ОРГРЭС, ВНИИЭ и другими или службами энергетических объе</w:t>
      </w:r>
      <w:r>
        <w:rPr>
          <w:color w:val="000000"/>
          <w:sz w:val="28"/>
          <w:szCs w:val="28"/>
          <w:lang w:val="ru-RU"/>
        </w:rPr>
        <w:t xml:space="preserve">динений, так как требует специальной </w:t>
      </w:r>
      <w:r>
        <w:rPr>
          <w:color w:val="000000"/>
          <w:sz w:val="28"/>
          <w:szCs w:val="28"/>
          <w:lang w:val="ru-RU"/>
        </w:rPr>
        <w:lastRenderedPageBreak/>
        <w:t>подготовки персонала и высокой оснащенности средствами измерения.</w:t>
      </w:r>
    </w:p>
    <w:p w14:paraId="5570FF90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повышения надежности работы оборудования в первую очередь следует выявлять элементы оборудования с низкой надежностью, обеспечивать их восстановление</w:t>
      </w:r>
      <w:r>
        <w:rPr>
          <w:color w:val="000000"/>
          <w:sz w:val="28"/>
          <w:szCs w:val="28"/>
          <w:lang w:val="ru-RU"/>
        </w:rPr>
        <w:t xml:space="preserve"> или замену более надежными и долговечными, в том числе; заменять лопасти рабочих колес гидротурбин, выполненных из обычных углеродистых сталей, лопастями из кавитационно-стойких (нержавеющих) сталей; своевременно восстанавливать места кавитационных повреж</w:t>
      </w:r>
      <w:r>
        <w:rPr>
          <w:color w:val="000000"/>
          <w:sz w:val="28"/>
          <w:szCs w:val="28"/>
          <w:lang w:val="ru-RU"/>
        </w:rPr>
        <w:t>дений лопастей рабочих колес и других элементов проточной части гидротурбин, заделывать появившиеся трещины на лопастях рабочих колес; совершенствовать и своевременно заменять уплотнения лопастей рабочих колес, валов гидроагрегатов, маслованн подпятников и</w:t>
      </w:r>
      <w:r>
        <w:rPr>
          <w:color w:val="000000"/>
          <w:sz w:val="28"/>
          <w:szCs w:val="28"/>
          <w:lang w:val="ru-RU"/>
        </w:rPr>
        <w:t xml:space="preserve"> подшипников.</w:t>
      </w:r>
    </w:p>
    <w:p w14:paraId="6B0919B1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того, необходимо: улучшать системы охлаждения гидрогенераторов, подпятников и подшипников; следить за равномерным распределением нагрузки на сегменты подпятников, улучшать систему температурного контроля за их работой; совершенствовать </w:t>
      </w:r>
      <w:r>
        <w:rPr>
          <w:color w:val="000000"/>
          <w:sz w:val="28"/>
          <w:szCs w:val="28"/>
          <w:lang w:val="ru-RU"/>
        </w:rPr>
        <w:t>способы и аппаратуру эксплуатационного контроля за электрическими и механическими параметрами работы гидроагрегатов; упрощать вспомогательные системы оборудования гидротурбинной установки (смазки, технического водо - и воздухо - снабжения, водооткачивающег</w:t>
      </w:r>
      <w:r>
        <w:rPr>
          <w:color w:val="000000"/>
          <w:sz w:val="28"/>
          <w:szCs w:val="28"/>
          <w:lang w:val="ru-RU"/>
        </w:rPr>
        <w:t>о и другого оборудования); совершенствовать системы автоматического управления путем внедрения современных микропроцессорных устройств и сокращения количества реле, контактов, гидроблокировок и т.п.</w:t>
      </w:r>
    </w:p>
    <w:p w14:paraId="572B8818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Надежность оборудования в большой степени зависит от кач</w:t>
      </w:r>
      <w:r>
        <w:rPr>
          <w:color w:val="000000"/>
          <w:sz w:val="28"/>
          <w:szCs w:val="28"/>
          <w:lang w:val="ru-RU"/>
        </w:rPr>
        <w:t>ества выполняемых ремонтных работ, поэтому на ГЭС и в энергообъединениях необходимо вести постоянную работу по совершенствованию организации ремонта.</w:t>
      </w:r>
    </w:p>
    <w:p w14:paraId="3C10F708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Оптимальный КПД ГЭС следует рассматривать с учетом заданной нагрузки, напора и режима ее работы в энергоси</w:t>
      </w:r>
      <w:r>
        <w:rPr>
          <w:color w:val="000000"/>
          <w:sz w:val="28"/>
          <w:szCs w:val="28"/>
          <w:lang w:val="ru-RU"/>
        </w:rPr>
        <w:t>стеме. Режим работы ГЭС задается с учетом интересов энергосистемы исходя из получения максимального экономического эффекта. Основными энергетическими показателями ГЭС являются ее установленная мощность, годовая выработка электроэнергии и удельный расход.</w:t>
      </w:r>
    </w:p>
    <w:p w14:paraId="71E1C079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становленной мощностью ГЭС называется суммарная номинальная мощность всех ее генераторов. Годовая выработка электроэнергии ГЭС зависит от водности реки. Отношение годовой выработки электроэнергии ГЭС к ее установленной мощности называется числом часов испо</w:t>
      </w:r>
      <w:r>
        <w:rPr>
          <w:color w:val="000000"/>
          <w:sz w:val="28"/>
          <w:szCs w:val="28"/>
          <w:lang w:val="ru-RU"/>
        </w:rPr>
        <w:t>льзования установленной мощности. В зависимости от функций ГЭС в энергосистеме число часов использования составляет для ГЭС, работающих в пиках графика нагрузки, 1000-3000, для базисных ГЭС 6000-6500.</w:t>
      </w:r>
    </w:p>
    <w:p w14:paraId="7CA1E89A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Удельный расход воды определяет количество (объем) воды</w:t>
      </w:r>
      <w:r>
        <w:rPr>
          <w:color w:val="000000"/>
          <w:sz w:val="28"/>
          <w:szCs w:val="28"/>
          <w:lang w:val="ru-RU"/>
        </w:rPr>
        <w:t>, необходимый для выработки 1 кВт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∙</w:t>
      </w:r>
      <w:r>
        <w:rPr>
          <w:color w:val="000000"/>
          <w:sz w:val="28"/>
          <w:szCs w:val="28"/>
          <w:lang w:val="ru-RU"/>
        </w:rPr>
        <w:t>ч электроэнергии.</w:t>
      </w:r>
    </w:p>
    <w:p w14:paraId="6A654584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Одним из основных технико-экономических показателей ГЭС является </w:t>
      </w:r>
      <w:r>
        <w:rPr>
          <w:color w:val="000000"/>
          <w:sz w:val="28"/>
          <w:szCs w:val="28"/>
          <w:lang w:val="ru-RU"/>
        </w:rPr>
        <w:lastRenderedPageBreak/>
        <w:t>себестоимость электрической энергии. Себестоимость электрической энергии 5 [тенге/ (кВт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∙</w:t>
      </w:r>
      <w:r>
        <w:rPr>
          <w:color w:val="000000"/>
          <w:sz w:val="28"/>
          <w:szCs w:val="28"/>
          <w:lang w:val="ru-RU"/>
        </w:rPr>
        <w:t>ч)] определяется делением ежегодных издержек произв</w:t>
      </w:r>
      <w:r>
        <w:rPr>
          <w:color w:val="000000"/>
          <w:sz w:val="28"/>
          <w:szCs w:val="28"/>
          <w:lang w:val="ru-RU"/>
        </w:rPr>
        <w:t>одства И</w:t>
      </w:r>
      <w:r>
        <w:rPr>
          <w:color w:val="000000"/>
          <w:sz w:val="28"/>
          <w:szCs w:val="28"/>
          <w:vertAlign w:val="subscript"/>
          <w:lang w:val="ru-RU"/>
        </w:rPr>
        <w:t>э</w:t>
      </w:r>
      <w:r>
        <w:rPr>
          <w:color w:val="000000"/>
          <w:sz w:val="28"/>
          <w:szCs w:val="28"/>
          <w:lang w:val="ru-RU"/>
        </w:rPr>
        <w:t xml:space="preserve"> (тенге) на количество энергии Э</w:t>
      </w:r>
      <w:r>
        <w:rPr>
          <w:color w:val="000000"/>
          <w:sz w:val="28"/>
          <w:szCs w:val="28"/>
          <w:vertAlign w:val="subscript"/>
          <w:lang w:val="ru-RU"/>
        </w:rPr>
        <w:t>ш</w:t>
      </w:r>
      <w:r>
        <w:rPr>
          <w:color w:val="000000"/>
          <w:sz w:val="28"/>
          <w:szCs w:val="28"/>
          <w:lang w:val="ru-RU"/>
        </w:rPr>
        <w:t xml:space="preserve"> (кВт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∙</w:t>
      </w:r>
      <w:r>
        <w:rPr>
          <w:color w:val="000000"/>
          <w:sz w:val="28"/>
          <w:szCs w:val="28"/>
          <w:lang w:val="ru-RU"/>
        </w:rPr>
        <w:t>ч), отпущенной за год с шин высокого напряжения;</w:t>
      </w:r>
    </w:p>
    <w:p w14:paraId="4A28D69C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</w:p>
    <w:p w14:paraId="1BBDE99A" w14:textId="169557FC" w:rsidR="00000000" w:rsidRDefault="0051318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EED1B5" wp14:editId="10BF510F">
            <wp:extent cx="98107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E06">
        <w:rPr>
          <w:color w:val="000000"/>
          <w:sz w:val="28"/>
          <w:szCs w:val="28"/>
          <w:lang w:val="ru-RU"/>
        </w:rPr>
        <w:t xml:space="preserve"> &lt;http://foraenergy.ru/wp-content/uploads/2011/06/%D1%81%D0%B5%D0%B1%D0%B5%D1%81%D1%82%D0%BE%D0%B8%D0%BC%D0%BE%D1%81%D1%82%</w:t>
      </w:r>
      <w:r w:rsidR="003F5E06">
        <w:rPr>
          <w:color w:val="000000"/>
          <w:sz w:val="28"/>
          <w:szCs w:val="28"/>
          <w:lang w:val="ru-RU"/>
        </w:rPr>
        <w:t>D1%8C-%D1%8D%D0%BB%D0%B5%D0%BA%D1%82%D1%80%D0%B8%D1%87%D0%B5%D1%81%D0%BA%D0%BE%D0%B9-%D1%8D%D0%BD%D0%B5%D1%80%D0%B3%D0%B8%D0%B81.jpg&gt;</w:t>
      </w:r>
    </w:p>
    <w:p w14:paraId="5FB784FF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</w:p>
    <w:p w14:paraId="1E76127D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Э равно годовой выработке электрической энергии ГЭС за вычетом расхода на собственные нужды и потерь в трансформ</w:t>
      </w:r>
      <w:r>
        <w:rPr>
          <w:color w:val="000000"/>
          <w:sz w:val="28"/>
          <w:szCs w:val="28"/>
          <w:lang w:val="ru-RU"/>
        </w:rPr>
        <w:t>аторах.</w:t>
      </w:r>
    </w:p>
    <w:p w14:paraId="32B015CF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выше годовая выработка электроэнергии, тем ниже ее себестоимость, так как годовые издержки производства ГЭС мало зависят от выработки электроэнергии. Ежегодные издержки ГЭС включают эксплуатационные затраты (зарплата персонала, материалы, текущ</w:t>
      </w:r>
      <w:r>
        <w:rPr>
          <w:color w:val="000000"/>
          <w:sz w:val="28"/>
          <w:szCs w:val="28"/>
          <w:lang w:val="ru-RU"/>
        </w:rPr>
        <w:t>ий ремонт и др.) и отчисления на амортизацию сооружений и оборудования (реновация и капитальный ремонт). Последние составляют до 70 - 80 % полных ежегодных издержек ГЭС и, следовательно, такую же долю в себестоимости электроэнергии.</w:t>
      </w:r>
    </w:p>
    <w:p w14:paraId="28417C38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энергетическом испо</w:t>
      </w:r>
      <w:r>
        <w:rPr>
          <w:color w:val="000000"/>
          <w:sz w:val="28"/>
          <w:szCs w:val="28"/>
          <w:lang w:val="ru-RU"/>
        </w:rPr>
        <w:t>льзовании водотока оптимальный режим работы ГЭС определяется по минимуму ежегодных издержек объединенной энергосистемы при соблюдении баланса мощности и выработки электроэнергии и поддержании надлежащего качества электроэнергии по частоте и напряжению. При</w:t>
      </w:r>
      <w:r>
        <w:rPr>
          <w:color w:val="000000"/>
          <w:sz w:val="28"/>
          <w:szCs w:val="28"/>
          <w:lang w:val="ru-RU"/>
        </w:rPr>
        <w:t xml:space="preserve"> заданном электропотреблении минимум ежегодных издержек соответствует минимуму себестоимости энергии объединенной энергосистемы. В расчетах с некоторым приближением считаются постоянными все эксплуатационные расходы энергосистемы, кроме расходов на топливо</w:t>
      </w:r>
      <w:r>
        <w:rPr>
          <w:color w:val="000000"/>
          <w:sz w:val="28"/>
          <w:szCs w:val="28"/>
          <w:lang w:val="ru-RU"/>
        </w:rPr>
        <w:t>. При этом критерием оптимальности режима работы ГЭС становится минимум стоимости расходуемого топлива на тепловых электростанциях энергосистемы.</w:t>
      </w:r>
    </w:p>
    <w:p w14:paraId="734737E6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приближенных расчетах годичного регулирования стока считается, что минимуму расхода топлива соответствует ма</w:t>
      </w:r>
      <w:r>
        <w:rPr>
          <w:color w:val="000000"/>
          <w:sz w:val="28"/>
          <w:szCs w:val="28"/>
          <w:lang w:val="ru-RU"/>
        </w:rPr>
        <w:t>ксимум выработки энергии ГЭС при выполнении гарантий по участию ГЭС в покрытии максимумов нагрузки энергосистемы. Для обоснования суточного режима работы энергосистемы критерий максимума выработки электроэнергии на ГЭС не может быть применен. Известно, что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суточное регулирование обычно вызывает потерю энергии и поэтому максимуму выработки энергии ГЭС соответствует базисный режим ее работы без суточного регулирования. Но при этом тепловые электростанции должны работать в пиковых режимах с повышенными </w:t>
      </w:r>
      <w:r>
        <w:rPr>
          <w:color w:val="000000"/>
          <w:sz w:val="28"/>
          <w:szCs w:val="28"/>
          <w:lang w:val="ru-RU"/>
        </w:rPr>
        <w:lastRenderedPageBreak/>
        <w:t>удельны</w:t>
      </w:r>
      <w:r>
        <w:rPr>
          <w:color w:val="000000"/>
          <w:sz w:val="28"/>
          <w:szCs w:val="28"/>
          <w:lang w:val="ru-RU"/>
        </w:rPr>
        <w:t>ми расходами топлива, что, в конечном счете, приведет к увеличению расхода топлива по энергосистеме. Кроме того, при базисной работе ГЭС в маловодный период снижается ее располагаемая мощность, вследствие чего может быть нарушен баланс мощности энергосисте</w:t>
      </w:r>
      <w:r>
        <w:rPr>
          <w:color w:val="000000"/>
          <w:sz w:val="28"/>
          <w:szCs w:val="28"/>
          <w:lang w:val="ru-RU"/>
        </w:rPr>
        <w:t>мы. Поэтому оптимизация суточных режимов работы ГЭС производится по минимуму стоимости или расхода топлива в энергосистеме.</w:t>
      </w:r>
    </w:p>
    <w:p w14:paraId="0E385E4E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Расчетами годовых, сезонных и суточных режимов работы ГЭС занимаются специальные службы энергообъединений, ОДУ и ЦДУ в зависимости о</w:t>
      </w:r>
      <w:r>
        <w:rPr>
          <w:color w:val="000000"/>
          <w:sz w:val="28"/>
          <w:szCs w:val="28"/>
          <w:lang w:val="ru-RU"/>
        </w:rPr>
        <w:t>т мощности ГЭС и ее территориального расположения. Режим работы ГЭС задается диспетчером энергосистемы в виде диспетчерского графика нагрузки или путем управления гидроагрегатами ГЭС по каналам телемеханики с диспетчерского пункта энергосистемы (объединенн</w:t>
      </w:r>
      <w:r>
        <w:rPr>
          <w:color w:val="000000"/>
          <w:sz w:val="28"/>
          <w:szCs w:val="28"/>
          <w:lang w:val="ru-RU"/>
        </w:rPr>
        <w:t>ой энергосистемы).</w:t>
      </w:r>
    </w:p>
    <w:p w14:paraId="2386919B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отдельных случаях в определенное время суток некоторые крупные ГЭС, оснащенные специальной аппаратурой, привлекаются к автоматическому регулированию частоты либо перетоков мощности по линиям электропередачи (например, Волжские и Боткин</w:t>
      </w:r>
      <w:r>
        <w:rPr>
          <w:color w:val="000000"/>
          <w:sz w:val="28"/>
          <w:szCs w:val="28"/>
          <w:lang w:val="ru-RU"/>
        </w:rPr>
        <w:t>ская ГЭС и др.).</w:t>
      </w:r>
    </w:p>
    <w:p w14:paraId="7C8CB4C8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всех режимов ГЭС обязательным условием является работа гидроэнергетического оборудования с наивысшим КПД.</w:t>
      </w:r>
    </w:p>
    <w:p w14:paraId="3D0055D1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Мощность гидротурбины N</w:t>
      </w:r>
      <w:r>
        <w:rPr>
          <w:color w:val="000000"/>
          <w:sz w:val="28"/>
          <w:szCs w:val="28"/>
          <w:vertAlign w:val="subscript"/>
          <w:lang w:val="ru-RU"/>
        </w:rPr>
        <w:t>T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кВт) определяется по формуле:</w:t>
      </w:r>
    </w:p>
    <w:p w14:paraId="50E901D3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</w:p>
    <w:p w14:paraId="15F7DFC2" w14:textId="3DF34172" w:rsidR="00000000" w:rsidRDefault="0051318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EFD7E8" wp14:editId="60412347">
            <wp:extent cx="1476375" cy="352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E06">
        <w:rPr>
          <w:color w:val="000000"/>
          <w:sz w:val="28"/>
          <w:szCs w:val="28"/>
          <w:lang w:val="ru-RU"/>
        </w:rPr>
        <w:t xml:space="preserve"> &lt;http://foraenergy.ru/wp-content/upl</w:t>
      </w:r>
      <w:r w:rsidR="003F5E06">
        <w:rPr>
          <w:color w:val="000000"/>
          <w:sz w:val="28"/>
          <w:szCs w:val="28"/>
          <w:lang w:val="ru-RU"/>
        </w:rPr>
        <w:t>oads/2011/06/%D0%9C%D0%BE%D1%89%D0%BD%D0%BE%D1%81%D1%82%D1%8C-%D0%B3%D0%B8%D0%B4%D1%80%D0%BE%D1%82%D1%83%D1%80%D0%B1%D0%B8%D0%BD%D1%8B.jpg&gt;</w:t>
      </w:r>
    </w:p>
    <w:p w14:paraId="614FE2BA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</w:p>
    <w:p w14:paraId="50B9DDD3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Q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расход воды, проходящей через турбину, м</w:t>
      </w:r>
      <w:r>
        <w:rPr>
          <w:color w:val="000000"/>
          <w:sz w:val="28"/>
          <w:szCs w:val="28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>/с;</w:t>
      </w:r>
    </w:p>
    <w:p w14:paraId="057FC2D8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vertAlign w:val="subscript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- напор турбины, м;</w:t>
      </w:r>
    </w:p>
    <w:p w14:paraId="11628E1F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η</w:t>
      </w:r>
      <w:r>
        <w:rPr>
          <w:color w:val="000000"/>
          <w:sz w:val="28"/>
          <w:szCs w:val="28"/>
          <w:vertAlign w:val="subscript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- КПД.</w:t>
      </w:r>
    </w:p>
    <w:p w14:paraId="0CF2F0D7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изменении нагрузки турбин</w:t>
      </w:r>
      <w:r>
        <w:rPr>
          <w:color w:val="000000"/>
          <w:sz w:val="28"/>
          <w:szCs w:val="28"/>
          <w:lang w:val="ru-RU"/>
        </w:rPr>
        <w:t xml:space="preserve">ы изменяются расход воды и КПД. Взаимная связь основных параметров турбины, работающей с постоянной частотой вращения, определяется ее рабочими и эксплуатационными характеристиками. Рабочая характеристика представляет собой зависимости КПД гидротурбины от </w:t>
      </w:r>
      <w:r>
        <w:rPr>
          <w:color w:val="000000"/>
          <w:sz w:val="28"/>
          <w:szCs w:val="28"/>
          <w:lang w:val="ru-RU"/>
        </w:rPr>
        <w:t xml:space="preserve">мощности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η</w:t>
      </w:r>
      <w:r>
        <w:rPr>
          <w:color w:val="000000"/>
          <w:sz w:val="28"/>
          <w:szCs w:val="28"/>
          <w:vertAlign w:val="subscript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= f (N</w:t>
      </w:r>
      <w:r>
        <w:rPr>
          <w:color w:val="000000"/>
          <w:sz w:val="28"/>
          <w:szCs w:val="28"/>
          <w:vertAlign w:val="subscript"/>
          <w:lang w:val="ru-RU"/>
        </w:rPr>
        <w:t>T</w:t>
      </w:r>
      <w:r>
        <w:rPr>
          <w:color w:val="000000"/>
          <w:sz w:val="28"/>
          <w:szCs w:val="28"/>
          <w:lang w:val="ru-RU"/>
        </w:rPr>
        <w:t>) при постоянных частоте вращения и напоре.</w:t>
      </w:r>
    </w:p>
    <w:p w14:paraId="5F0E16B6" w14:textId="77777777" w:rsidR="00000000" w:rsidRDefault="003F5E0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гидроэлектростанция гидротехническое сооружение гидротурбинный</w:t>
      </w:r>
    </w:p>
    <w:p w14:paraId="3A8A1D35" w14:textId="77777777" w:rsidR="00000000" w:rsidRDefault="003F5E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Эксплуатационные универсальные характеристики</w:t>
      </w:r>
    </w:p>
    <w:p w14:paraId="5F8F52F8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6ED055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основных для гидротурбины является ее кавитационная характеристика. К</w:t>
      </w:r>
      <w:r>
        <w:rPr>
          <w:color w:val="000000"/>
          <w:sz w:val="28"/>
          <w:szCs w:val="28"/>
          <w:lang w:val="ru-RU"/>
        </w:rPr>
        <w:t>авитация обычно приводит к разрушению металла лопастей, облицовки камеры и других элементов гидротурбины, снижает КПД гидротурбины и механическую прочность ее узлов. Кавитационные явления присущи всем реактивным гидротурбинам. По мере развития кавитации во</w:t>
      </w:r>
      <w:r>
        <w:rPr>
          <w:color w:val="000000"/>
          <w:sz w:val="28"/>
          <w:szCs w:val="28"/>
          <w:lang w:val="ru-RU"/>
        </w:rPr>
        <w:t>зрастает шум в проточной части гидротурбин, увеличивается вибрация крышки турбины и других опорных частей гидроагрегата, происходят падение КПД и срыв мощности. В целях уменьшения кавитационной эрозии металла ведется постоянный поиск наиболее кавитационно-</w:t>
      </w:r>
      <w:r>
        <w:rPr>
          <w:color w:val="000000"/>
          <w:sz w:val="28"/>
          <w:szCs w:val="28"/>
          <w:lang w:val="ru-RU"/>
        </w:rPr>
        <w:t>стойких материалов для изготовления рабочих колес и проточной части гидротурбин. Опыт эксплуатации гидротурбин показывает, что высоколегированные нержавеющие стали 12Х18Н10Т, 10X13, 10Х12НД 10Х14АП2 и наплавки электродами аустенитного класса типа ЦЛ9, ЦЛ11</w:t>
      </w:r>
      <w:r>
        <w:rPr>
          <w:color w:val="000000"/>
          <w:sz w:val="28"/>
          <w:szCs w:val="28"/>
          <w:lang w:val="ru-RU"/>
        </w:rPr>
        <w:t>, ЭА395/9, а также высокохромистые 1Х13иХ17Н2 обеспечивают длительную работу гидротурбин без заметного кавитационного износа в течение нескольких лет.</w:t>
      </w:r>
    </w:p>
    <w:p w14:paraId="6E3B175B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основной мерой защиты реактивных гидротурбин от кавитации является достаточное заглубление рабочих</w:t>
      </w:r>
      <w:r>
        <w:rPr>
          <w:color w:val="000000"/>
          <w:sz w:val="28"/>
          <w:szCs w:val="28"/>
          <w:lang w:val="ru-RU"/>
        </w:rPr>
        <w:t xml:space="preserve"> колес. С этой точки зрения чрезвычайно важным является правильное назначение расчетного коэффициента кавитации а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основании испытаний модели рабочего колеса. Физически коэффициент кавитации представляет собой отношение абсолютного давления в исследуемой</w:t>
      </w:r>
      <w:r>
        <w:rPr>
          <w:color w:val="000000"/>
          <w:sz w:val="28"/>
          <w:szCs w:val="28"/>
          <w:lang w:val="ru-RU"/>
        </w:rPr>
        <w:t xml:space="preserve"> точке к рабочему напору. Для современных отечественных поворотно-лопастных и пропеллерных гидротурбин расчетный кавитационный коэффициент колеблется в пределах от 0,2 (средненапорные) до 1,4 (низконапорные), для радиально-осевых - в пределах от 0,03 (высо</w:t>
      </w:r>
      <w:r>
        <w:rPr>
          <w:color w:val="000000"/>
          <w:sz w:val="28"/>
          <w:szCs w:val="28"/>
          <w:lang w:val="ru-RU"/>
        </w:rPr>
        <w:t>конапорные) до 0,25 (средненапорные).</w:t>
      </w:r>
    </w:p>
    <w:p w14:paraId="6BFBED06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Исключение или уменьшение кавитации гидротурбин достигается </w:t>
      </w:r>
      <w:r>
        <w:rPr>
          <w:color w:val="000000"/>
          <w:sz w:val="28"/>
          <w:szCs w:val="28"/>
          <w:lang w:val="ru-RU"/>
        </w:rPr>
        <w:lastRenderedPageBreak/>
        <w:t>расположением рабочего колеса на высоте по отношению к уровню нижнего бьефа, не превышающей допустимого значения по условиям бескавитационной работы. Высота р</w:t>
      </w:r>
      <w:r>
        <w:rPr>
          <w:color w:val="000000"/>
          <w:sz w:val="28"/>
          <w:szCs w:val="28"/>
          <w:lang w:val="ru-RU"/>
        </w:rPr>
        <w:t>асположения рабочего колеса по отношению к уровню нижнего бьефа называется высотой отсасывания, ее значение определяется как разность отметки плоскости гидротурбины с минимальным давлением и уровня воды в нижнем бьефе. Обычно в качестве таких плоскостей пр</w:t>
      </w:r>
      <w:r>
        <w:rPr>
          <w:color w:val="000000"/>
          <w:sz w:val="28"/>
          <w:szCs w:val="28"/>
          <w:lang w:val="ru-RU"/>
        </w:rPr>
        <w:t>инимаются: для вертикальных радиально-осевых и диагональных - середина высоты направляющего аппарата; горизонтальных радиально-осевых и поворотно - лопастных - плоскость, проходящая через ось вала гидроагрегата; вертикальных поворотно-лопастных и пропеллер</w:t>
      </w:r>
      <w:r>
        <w:rPr>
          <w:color w:val="000000"/>
          <w:sz w:val="28"/>
          <w:szCs w:val="28"/>
          <w:lang w:val="ru-RU"/>
        </w:rPr>
        <w:t>ных гидротурбин - плоскость осей поворота лопастей рабочего колеса.</w:t>
      </w:r>
    </w:p>
    <w:p w14:paraId="3AC0FFD5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Высота отсасывания считается положительной, если уровень воды в нижнем бьефе находится ниже указанных плоскостей, и отрицательной, если выше.</w:t>
      </w:r>
    </w:p>
    <w:p w14:paraId="19236393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Допустимая по условиям бескавитационной работы</w:t>
      </w:r>
      <w:r>
        <w:rPr>
          <w:color w:val="000000"/>
          <w:sz w:val="28"/>
          <w:szCs w:val="28"/>
          <w:lang w:val="ru-RU"/>
        </w:rPr>
        <w:t xml:space="preserve"> высота отсасывания приближенно может быть определена по формуле:</w:t>
      </w:r>
    </w:p>
    <w:p w14:paraId="7DAFC608" w14:textId="77777777" w:rsidR="00000000" w:rsidRDefault="003F5E0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B4D139F" w14:textId="7CDDE1D8" w:rsidR="00000000" w:rsidRDefault="0051318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3AC03E" wp14:editId="356B9FCA">
            <wp:extent cx="15240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E06">
        <w:rPr>
          <w:color w:val="000000"/>
          <w:sz w:val="28"/>
          <w:szCs w:val="28"/>
          <w:lang w:val="ru-RU"/>
        </w:rPr>
        <w:t xml:space="preserve"> &lt;http://foraenergy.ru/wp-content/uploads/2011/06/%D0%94%D0%BE%D0%BF%D1%83%D1%81%D1%82%D0%B8%D0%BC%D0%B0%D1%8F-%D0%B2%D1%8B%D1%81%D0%BE%D1%82%D0%B0-%D0%B</w:t>
      </w:r>
      <w:r w:rsidR="003F5E06">
        <w:rPr>
          <w:color w:val="000000"/>
          <w:sz w:val="28"/>
          <w:szCs w:val="28"/>
          <w:lang w:val="ru-RU"/>
        </w:rPr>
        <w:t>E%D1%82%D1%81%D0%B0%D1%81%D1%8B%D0%B2%D0%B0%D0%BD%D0%B8%D1%8F.jpg&gt;</w:t>
      </w:r>
    </w:p>
    <w:p w14:paraId="36F69833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</w:p>
    <w:p w14:paraId="2D39A369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 Н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рабочий напор, м;</w:t>
      </w:r>
    </w:p>
    <w:p w14:paraId="173EC68B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σ</w:t>
      </w:r>
      <w:r>
        <w:rPr>
          <w:color w:val="000000"/>
          <w:sz w:val="28"/>
          <w:szCs w:val="28"/>
          <w:lang w:val="ru-RU"/>
        </w:rPr>
        <w:t xml:space="preserve"> - кавитационный коэффициент;</w:t>
      </w:r>
    </w:p>
    <w:p w14:paraId="5E537C57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расчетное барометрическое давление, м вод. ст.</w:t>
      </w:r>
    </w:p>
    <w:p w14:paraId="43D5F823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уменьшения кавитации на гидротурбинных установках применяется подача воздуха</w:t>
      </w:r>
      <w:r>
        <w:rPr>
          <w:color w:val="000000"/>
          <w:sz w:val="28"/>
          <w:szCs w:val="28"/>
          <w:lang w:val="ru-RU"/>
        </w:rPr>
        <w:t xml:space="preserve"> в проточную часть к зонам кавитации. При эксплуатации гидротурбин рекомендуется избегать режимов работы, при которых проявляется кавитация.</w:t>
      </w:r>
    </w:p>
    <w:p w14:paraId="029D2B17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Каждому режиму гидротурбины, работающей при переменных напоре и мощности, соответствуют определенные значения КПД и</w:t>
      </w:r>
      <w:r>
        <w:rPr>
          <w:color w:val="000000"/>
          <w:sz w:val="28"/>
          <w:szCs w:val="28"/>
          <w:lang w:val="ru-RU"/>
        </w:rPr>
        <w:t xml:space="preserve"> допустимая высота </w:t>
      </w:r>
      <w:r>
        <w:rPr>
          <w:color w:val="000000"/>
          <w:sz w:val="28"/>
          <w:szCs w:val="28"/>
          <w:lang w:val="ru-RU"/>
        </w:rPr>
        <w:lastRenderedPageBreak/>
        <w:t>отсасывания. Эти данные приводятся в эксплуатационной универсальной характеристике. На характеристике допустимые высоты отсасывания для различных режимов работы гидротурбины нанесены в виде системы линий H</w:t>
      </w:r>
      <w:r>
        <w:rPr>
          <w:color w:val="000000"/>
          <w:sz w:val="28"/>
          <w:szCs w:val="28"/>
          <w:vertAlign w:val="subscript"/>
          <w:lang w:val="ru-RU"/>
        </w:rPr>
        <w:t>s</w:t>
      </w:r>
      <w:r>
        <w:rPr>
          <w:color w:val="000000"/>
          <w:sz w:val="28"/>
          <w:szCs w:val="28"/>
          <w:lang w:val="ru-RU"/>
        </w:rPr>
        <w:t>.</w:t>
      </w:r>
    </w:p>
    <w:p w14:paraId="628AB2B2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Эксплуатационные универсальны</w:t>
      </w:r>
      <w:r>
        <w:rPr>
          <w:color w:val="000000"/>
          <w:sz w:val="28"/>
          <w:szCs w:val="28"/>
          <w:lang w:val="ru-RU"/>
        </w:rPr>
        <w:t>е характеристики имеют большое значение для организации рациональной эксплуатации гидротурбинных установок. Они составляются на основании модельных испытаний гидротурбин. Как правило, действительные значения КПД гидротурбин несколько отличаются от расчетны</w:t>
      </w:r>
      <w:r>
        <w:rPr>
          <w:color w:val="000000"/>
          <w:sz w:val="28"/>
          <w:szCs w:val="28"/>
          <w:lang w:val="ru-RU"/>
        </w:rPr>
        <w:t>х, нанесенных на заводской эксплуатационной характеристике. В связи с этим рекомендуется после ввода гидротурбин в эксплуатацию проводить натурные испытания для уточнения главным образом значений КПД и положения линий ограничения мощности. Испытания целесо</w:t>
      </w:r>
      <w:r>
        <w:rPr>
          <w:color w:val="000000"/>
          <w:sz w:val="28"/>
          <w:szCs w:val="28"/>
          <w:lang w:val="ru-RU"/>
        </w:rPr>
        <w:t>образно проводить силами специализированных организаций при участии заводов - поставщиков гидротурбин. Для удобства по результатам испытаний следует составлять эксплуатационную характеристику не гидротурбины, а гидроагрегата, отличающуюся тем, что линии ра</w:t>
      </w:r>
      <w:r>
        <w:rPr>
          <w:color w:val="000000"/>
          <w:sz w:val="28"/>
          <w:szCs w:val="28"/>
          <w:lang w:val="ru-RU"/>
        </w:rPr>
        <w:t>вных КПД и равных расходов строятся с учетом суммарных потерь мощности в турбине и генераторе.</w:t>
      </w:r>
    </w:p>
    <w:p w14:paraId="7DF65059" w14:textId="77777777" w:rsidR="00000000" w:rsidRDefault="003F5E0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работе одного гидроагрегата, используя эксплуатационную характеристику, несложно выбрать диапазон нагрузок, при котором обеспечивается наивысший КПД при собл</w:t>
      </w:r>
      <w:r>
        <w:rPr>
          <w:color w:val="000000"/>
          <w:sz w:val="28"/>
          <w:szCs w:val="28"/>
          <w:lang w:val="ru-RU"/>
        </w:rPr>
        <w:t>юдении условий, обеспечивающих наименьшую кавитационную эрозию проточной части гидротурбины. В случае работы нескольких гидроагрегатов при заданной нагрузке и неизменном напоре наивыгоднейший режим при наивысшем КПД ГЭС может быть достигнут в том случае, е</w:t>
      </w:r>
      <w:r>
        <w:rPr>
          <w:color w:val="000000"/>
          <w:sz w:val="28"/>
          <w:szCs w:val="28"/>
          <w:lang w:val="ru-RU"/>
        </w:rPr>
        <w:t>сли на ГЭС будет работать оптимальное количество гидроагрегатов, а нагрузка между ними будет распределена с соблюдением равенства относительных приростов расхода воды. Определение количества и режима работы гидроагрегатов при покрытии заданных активной и р</w:t>
      </w:r>
      <w:r>
        <w:rPr>
          <w:color w:val="000000"/>
          <w:sz w:val="28"/>
          <w:szCs w:val="28"/>
          <w:lang w:val="ru-RU"/>
        </w:rPr>
        <w:t>еактивной нагрузок производится дежурным персоналом путем соответствующих расчетов или с помощью заранее подготовленной эксплуатационной диаграммы.</w:t>
      </w:r>
    </w:p>
    <w:p w14:paraId="6D755692" w14:textId="77777777" w:rsidR="00000000" w:rsidRDefault="003F5E0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рекомендуемой литературы</w:t>
      </w:r>
    </w:p>
    <w:p w14:paraId="49872323" w14:textId="77777777" w:rsidR="00000000" w:rsidRDefault="003F5E0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5BD88B" w14:textId="77777777" w:rsidR="00000000" w:rsidRDefault="003F5E0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Жабо В.В. Охрана окружающей среды. - М.: Энергия, 1980.</w:t>
      </w:r>
    </w:p>
    <w:p w14:paraId="3E8F3CBD" w14:textId="77777777" w:rsidR="003F5E06" w:rsidRDefault="003F5E0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Покровский В.</w:t>
      </w:r>
      <w:r>
        <w:rPr>
          <w:color w:val="000000"/>
          <w:sz w:val="28"/>
          <w:szCs w:val="28"/>
          <w:lang w:val="ru-RU"/>
        </w:rPr>
        <w:t>, Аракчеев В.П. Очистка сточных вод тепловых электростанций. - М.: Энергия, 1980.</w:t>
      </w:r>
    </w:p>
    <w:sectPr w:rsidR="003F5E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0"/>
    <w:rsid w:val="003F5E06"/>
    <w:rsid w:val="005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E14D4"/>
  <w14:defaultImageDpi w14:val="0"/>
  <w15:docId w15:val="{2C5932C1-9595-42E1-8067-A4F62E5D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3309</Words>
  <Characters>18865</Characters>
  <Application>Microsoft Office Word</Application>
  <DocSecurity>0</DocSecurity>
  <Lines>157</Lines>
  <Paragraphs>44</Paragraphs>
  <ScaleCrop>false</ScaleCrop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2025-02-18T00:11:00Z</dcterms:created>
  <dcterms:modified xsi:type="dcterms:W3CDTF">2025-02-18T00:11:00Z</dcterms:modified>
</cp:coreProperties>
</file>