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Реферат</w:t>
      </w:r>
    </w:p>
    <w:p w:rsidR="00000000" w:rsidRDefault="0074561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Понятие о численных методах решения обыкновенных дифференциальных уравнений</w:t>
      </w: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45612">
      <w:pPr>
        <w:pStyle w:val="1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000000" w:rsidRDefault="00745612">
      <w:pPr>
        <w:pStyle w:val="1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Метод Эйлера</w:t>
      </w:r>
    </w:p>
    <w:p w:rsidR="00000000" w:rsidRDefault="00745612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О решении ОДУ высших степеней и их систем</w:t>
      </w:r>
    </w:p>
    <w:p w:rsidR="00000000" w:rsidRDefault="00745612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Недостатки метода Эйлера</w:t>
      </w:r>
    </w:p>
    <w:p w:rsidR="00000000" w:rsidRDefault="00745612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Четырёхточечный метод Рунге-Кутты</w:t>
      </w:r>
    </w:p>
    <w:p w:rsidR="00000000" w:rsidRDefault="00745612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Вычислительный эк</w:t>
      </w:r>
      <w:r>
        <w:rPr>
          <w:sz w:val="28"/>
          <w:szCs w:val="28"/>
        </w:rPr>
        <w:t>сперимент</w:t>
      </w:r>
    </w:p>
    <w:p w:rsidR="00000000" w:rsidRDefault="00745612">
      <w:pPr>
        <w:pStyle w:val="1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Метод Эйлера</w:t>
      </w: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дифференциальное уравнение первого порядка, разрешенное относительно производной, то есть уравнение вида</w:t>
      </w: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00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  <w:t>(1)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относительно неизвестной функции 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). Правая часть этого уравнения представляет собой известную функцию двух переменных - х и у. Например, рассматриваемое ОДУ может иметь вид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76400" cy="228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>.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Обратим внимание на то, что при рассмотрении задач механики у нас встречались производные по времени, которые принято обозначать точками над соответствующими переменными. В настоящем же разделе мы рассматриваем функции</w:t>
      </w:r>
      <w:r>
        <w:rPr>
          <w:sz w:val="28"/>
          <w:szCs w:val="28"/>
        </w:rPr>
        <w:t xml:space="preserve"> переменной х и возвращаемся к стандартному обозначению производной от функции штрихом над её символом.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 помощью численных методов мы будем искать частные решения соответствующих дифференциальных уравнений. Впрочем, в большинстве физических приложений тре</w:t>
      </w:r>
      <w:r>
        <w:rPr>
          <w:sz w:val="28"/>
          <w:szCs w:val="28"/>
        </w:rPr>
        <w:t>буется отыскание именно таких решений. Действительно, при отправлении, например, космического аппарата с Земли на Марс, нам необходимо найти не все возможные траектории его движения в Солнечной Системе (что соответствовало бы общему решению соответствующей</w:t>
      </w:r>
      <w:r>
        <w:rPr>
          <w:sz w:val="28"/>
          <w:szCs w:val="28"/>
        </w:rPr>
        <w:t xml:space="preserve"> системы ОДУ!), а одну-единственную траекторию, начинающуюся в некоторой точке на Земле и заканчивающуюся в месте желаемой посадки космического аппарата на Марсе. Как уже отмечалось в разделе 1.2 для выделения частного решения из общего необходимо задать н</w:t>
      </w:r>
      <w:r>
        <w:rPr>
          <w:sz w:val="28"/>
          <w:szCs w:val="28"/>
        </w:rPr>
        <w:t>екоторые условия, например, начальные условия или краевые.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Уравнение (1) является уравнением первого порядка и поэтому его общее решение зависит лишь от одной произвольной постоянной. В связи с этим для выделения частного решения достаточно задать лишь одн</w:t>
      </w:r>
      <w:r>
        <w:rPr>
          <w:sz w:val="28"/>
          <w:szCs w:val="28"/>
        </w:rPr>
        <w:t>о начальное условие: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 xml:space="preserve"> </w:t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  <w:t>(2)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Это условие означает, что при фиксированном значении аргумента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искомая функция у(х) должна иметь некоторое известное значение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перед нами стоит вопрос о решении простейшей задачи Коши, которая определяется заданием дифференциального уравнения и некоторого начального условия (более подробно смотри далее):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9625" cy="2000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  <w:t>(3а)</w:t>
      </w: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2390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  <w:t>(3b)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Приведённую задачу Коши мы собираемся решать численно. Что это означает? Всем хорошо известны из школьного курса физики «Четырёхзначные математические таблицы» Брадиса. В них разные функции, в частн</w:t>
      </w:r>
      <w:r>
        <w:rPr>
          <w:sz w:val="28"/>
          <w:szCs w:val="28"/>
        </w:rPr>
        <w:t xml:space="preserve">ости тригонометрические, задаются в табличной форме: в первой колонке указаны дискретные значения аргумента, например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=0.1, 0.2, 0.3, 0.4,…, а в соседней колонке - соответствующие им значения табулируемой функции, наприме</w:t>
      </w:r>
      <w:r>
        <w:rPr>
          <w:sz w:val="28"/>
          <w:szCs w:val="28"/>
        </w:rPr>
        <w:t xml:space="preserve">р, синуса: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(0.1),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 (0.2),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 xml:space="preserve">(0.3), </w:t>
      </w:r>
      <w:r>
        <w:rPr>
          <w:sz w:val="28"/>
          <w:szCs w:val="28"/>
          <w:lang w:val="en-US"/>
        </w:rPr>
        <w:t>sin</w:t>
      </w:r>
      <w:r>
        <w:rPr>
          <w:sz w:val="28"/>
          <w:szCs w:val="28"/>
        </w:rPr>
        <w:t>(0.4),….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Аналогичным образом численное решение рассматриваемой нами задачи Коши будет представлено в форме таблицы значений аргумента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>+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0025" cy="18097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>, (</w:t>
      </w:r>
      <w:r w:rsidR="00745612">
        <w:rPr>
          <w:sz w:val="28"/>
          <w:szCs w:val="28"/>
          <w:lang w:val="en-US"/>
        </w:rPr>
        <w:t>k</w:t>
      </w:r>
      <w:r w:rsidR="00745612">
        <w:rPr>
          <w:sz w:val="28"/>
          <w:szCs w:val="28"/>
        </w:rPr>
        <w:t>=0, 1,2,3…)</w:t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  <w:t>(4)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 соответствующих им значений функции у(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которая является решением дифференциального уравнения (1). Для краткости, значение функции у(х) при аргументе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00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мы будем обозначать символом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Шаг т</w:t>
      </w:r>
      <w:r>
        <w:rPr>
          <w:sz w:val="28"/>
          <w:szCs w:val="28"/>
        </w:rPr>
        <w:t xml:space="preserve">абулирования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предполагается достаточно малым. Величина его, очевидно, зависит от решаемой нами задачи. Например, при описании движения траектории Земли, возможно, вполне достаточно будет в качестве временного шага выбрать один день (55 точек на одном обо</w:t>
      </w:r>
      <w:r>
        <w:rPr>
          <w:sz w:val="28"/>
          <w:szCs w:val="28"/>
        </w:rPr>
        <w:t>роте Земли вокруг Солнца), но вряд ли кому-нибудь потребуется при решении этой задачи выбрать в качестве величины этого шага одну микросекунду.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Очевидно, что, чем быстрее изменяется функция, тем меньше должен быть шаг аргумента при её табуляции для того, ч</w:t>
      </w:r>
      <w:r>
        <w:rPr>
          <w:sz w:val="28"/>
          <w:szCs w:val="28"/>
        </w:rPr>
        <w:t>тобы через найденное множество точек можно было провести достаточно плавный график рассматриваемой функции.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Кстати заметим, что при построении графика функции на экране компьютера (например, в математическом пакете </w:t>
      </w:r>
      <w:r>
        <w:rPr>
          <w:sz w:val="28"/>
          <w:szCs w:val="28"/>
          <w:lang w:val="en-US"/>
        </w:rPr>
        <w:t>Maple</w:t>
      </w:r>
      <w:r>
        <w:rPr>
          <w:sz w:val="28"/>
          <w:szCs w:val="28"/>
        </w:rPr>
        <w:t>) первоначально строится некоторая д</w:t>
      </w:r>
      <w:r>
        <w:rPr>
          <w:sz w:val="28"/>
          <w:szCs w:val="28"/>
        </w:rPr>
        <w:t>остаточно подробная таблица этой функции, после чего соседние точки, отвечающие значениям табулируемой функции соединяются отрезками прямых (возможно, конечно, и соединение точек более сложными кривыми - это проблема изучается в теории аппроксимации функци</w:t>
      </w:r>
      <w:r>
        <w:rPr>
          <w:sz w:val="28"/>
          <w:szCs w:val="28"/>
        </w:rPr>
        <w:t xml:space="preserve">й, являющейся одним из разделов численного анализа). Итак, итогом численного </w:t>
      </w:r>
      <w:r>
        <w:rPr>
          <w:sz w:val="28"/>
          <w:szCs w:val="28"/>
        </w:rPr>
        <w:lastRenderedPageBreak/>
        <w:t>решения задачи Коши (3) должна явиться таблица вида:</w:t>
      </w:r>
    </w:p>
    <w:p w:rsidR="00000000" w:rsidRDefault="00745612">
      <w:pPr>
        <w:ind w:firstLine="709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5612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x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561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у(</w:t>
            </w:r>
            <w:r>
              <w:rPr>
                <w:sz w:val="20"/>
                <w:szCs w:val="20"/>
                <w:lang w:val="en-US"/>
              </w:rPr>
              <w:t>x</w:t>
            </w:r>
            <w:r>
              <w:rPr>
                <w:sz w:val="20"/>
                <w:szCs w:val="20"/>
              </w:rPr>
              <w:t>)</w:t>
            </w:r>
          </w:p>
        </w:tc>
      </w:tr>
    </w:tbl>
    <w:p w:rsidR="00000000" w:rsidRDefault="00BD700B">
      <w:pPr>
        <w:ind w:hanging="108"/>
        <w:rPr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D700B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0"/>
          <w:szCs w:val="20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0"/>
          <w:szCs w:val="20"/>
        </w:rPr>
        <w:t>+</w:t>
      </w:r>
      <w:r w:rsidR="00745612">
        <w:rPr>
          <w:sz w:val="20"/>
          <w:szCs w:val="20"/>
          <w:lang w:val="en-US"/>
        </w:rPr>
        <w:t>h</w:t>
      </w:r>
    </w:p>
    <w:p w:rsidR="00000000" w:rsidRDefault="00BD700B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19075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0"/>
          <w:szCs w:val="20"/>
        </w:rPr>
        <w:t xml:space="preserve"> 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0"/>
          <w:szCs w:val="20"/>
        </w:rPr>
        <w:t>+2</w:t>
      </w:r>
      <w:r w:rsidR="00745612">
        <w:rPr>
          <w:sz w:val="20"/>
          <w:szCs w:val="20"/>
          <w:lang w:val="en-US"/>
        </w:rPr>
        <w:t>h</w:t>
      </w:r>
    </w:p>
    <w:p w:rsidR="00000000" w:rsidRDefault="00BD700B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0"/>
          <w:szCs w:val="20"/>
        </w:rPr>
        <w:t>=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0"/>
          <w:szCs w:val="20"/>
        </w:rPr>
        <w:t>+3</w:t>
      </w:r>
      <w:r w:rsidR="00745612">
        <w:rPr>
          <w:sz w:val="20"/>
          <w:szCs w:val="20"/>
          <w:lang w:val="en-US"/>
        </w:rPr>
        <w:t>h</w:t>
      </w:r>
    </w:p>
    <w:p w:rsidR="00000000" w:rsidRDefault="00745612">
      <w:pPr>
        <w:ind w:hanging="108"/>
        <w:rPr>
          <w:sz w:val="20"/>
          <w:szCs w:val="20"/>
          <w:lang w:val="en-US"/>
        </w:rPr>
      </w:pPr>
      <w:r>
        <w:rPr>
          <w:sz w:val="20"/>
          <w:szCs w:val="20"/>
        </w:rPr>
        <w:t>....</w:t>
      </w:r>
      <w:r>
        <w:rPr>
          <w:sz w:val="20"/>
          <w:szCs w:val="20"/>
          <w:lang w:val="en-US"/>
        </w:rPr>
        <w:t>....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D700B">
      <w:pPr>
        <w:ind w:hanging="108"/>
        <w:rPr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D700B">
      <w:pPr>
        <w:ind w:hanging="108"/>
        <w:rPr>
          <w:sz w:val="20"/>
          <w:szCs w:val="20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19075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BD700B">
      <w:pPr>
        <w:ind w:hanging="108"/>
        <w:rPr>
          <w:sz w:val="20"/>
          <w:szCs w:val="20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561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  <w:lang w:val="en-US"/>
              </w:rPr>
              <w:t>……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45612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Первая строка этой таблицы содержит известные нам величины, входящие в начальное условие (3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 -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Во втор</w:t>
      </w:r>
      <w:r>
        <w:rPr>
          <w:sz w:val="28"/>
          <w:szCs w:val="28"/>
        </w:rPr>
        <w:t xml:space="preserve">ой строке - аргумент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=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+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известен по построению, а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(то есть значение функции у(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2400" cy="219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)) является неизвестным.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Идея метода Эйлера очень проста. По определению производной,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390525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случае производной от функции у(х) в точке х=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имеем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90675" cy="4095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 xml:space="preserve"> </w:t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  <w:t>(5)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поскольку в нашем случае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81175" cy="2286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Если шаг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достаточно мал , то приближённое значение производной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0025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можно найти, </w:t>
      </w:r>
      <w:r>
        <w:rPr>
          <w:sz w:val="28"/>
          <w:szCs w:val="28"/>
        </w:rPr>
        <w:t>опуская предел в формуле (5), т.е. полагая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409575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  <w:t>(6)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 другой стороны, уравнение (3а), по определению, справедливо при любом значении аргумента х и , стало быть, оно верно и в точках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: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1181100" cy="2286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  <w:t>(7)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Подставим теперь в это точное равенство приближённое выражение для первой производной (6). В результате приходим к приближённому уравнению: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43075" cy="228600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Поскольку, по определению у(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)=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окончательно имеем следующее уравнение, являющееся основой метода Эйлера: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314575" cy="2286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  <w:t>(8)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Конечно, это уравнение является лишь приближённым, и мы наде</w:t>
      </w:r>
      <w:r>
        <w:rPr>
          <w:sz w:val="28"/>
          <w:szCs w:val="28"/>
        </w:rPr>
        <w:t xml:space="preserve">емся, что, чем меньше величина шага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, тем оно будет более точным (уменьшается локальная погрешность метода, то есть погрешность на одном его шаге).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Заметим, что в численном анализе не принято писать знак приближённого равенства, вместо него используется з</w:t>
      </w:r>
      <w:r>
        <w:rPr>
          <w:sz w:val="28"/>
          <w:szCs w:val="28"/>
        </w:rPr>
        <w:t>нак точного равенства (по умолчанию предполагается, что все формулы численного анализа являются приближёнными).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Полагая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=0 из уравнения (8) имеем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Все величины в правой части этого уравнения нам известны (см. начальные</w:t>
      </w:r>
      <w:r>
        <w:rPr>
          <w:sz w:val="28"/>
          <w:szCs w:val="28"/>
        </w:rPr>
        <w:t xml:space="preserve"> условия (3</w:t>
      </w:r>
      <w:r>
        <w:rPr>
          <w:sz w:val="28"/>
          <w:szCs w:val="28"/>
          <w:lang w:val="en-US"/>
        </w:rPr>
        <w:t>b</w:t>
      </w:r>
      <w:r>
        <w:rPr>
          <w:sz w:val="28"/>
          <w:szCs w:val="28"/>
        </w:rPr>
        <w:t xml:space="preserve">)), что даёт возможность вычислить неизвестное значение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66750" cy="2190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заполнить тем самым вторую строку таблицы 1.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Полагая далее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 =1, из уравнения (8) имеем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219075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Поскольку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было определено на предыдущем шаге метода, в правой части последнего уравнения также известны все величины и можно найти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19075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что позволяет заполнить следующую строку таблицы 1.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Продолжая действовать</w:t>
      </w:r>
      <w:r>
        <w:rPr>
          <w:sz w:val="28"/>
          <w:szCs w:val="28"/>
        </w:rPr>
        <w:t xml:space="preserve"> таким образом и далее, можно заполнить таблицу 1 вплоть до сколь угодно большого значения аргумента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В этом и заключается суть метода Эйлера.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решение дифференциального уравнения свелось к многократному п</w:t>
      </w:r>
      <w:r>
        <w:rPr>
          <w:sz w:val="28"/>
          <w:szCs w:val="28"/>
        </w:rPr>
        <w:t>рименению рекуррентного соотношения (8). Формулы типа (8) называются явными, поскольку их применение даёт в явном виде значения функции у(х) в следующей точке (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по ранее уже найденным значениям функции у(х) в предыдущих </w:t>
      </w:r>
      <w:r>
        <w:rPr>
          <w:sz w:val="28"/>
          <w:szCs w:val="28"/>
        </w:rPr>
        <w:t xml:space="preserve">точках. 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Из рассмотренной выше вычислительной схемы метода Эйлера со всей очевидностью следует, что она одинаково применима для любого дифференциального уравнения первого порядка: как линейного, так и нелинейного.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О решении ОДУ высших степеней и их сис</w:t>
      </w:r>
      <w:r>
        <w:rPr>
          <w:sz w:val="28"/>
          <w:szCs w:val="28"/>
        </w:rPr>
        <w:t>тем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Мы разобрали технику применения метода Эйлера для численного решения уравнения первого порядка. С другой стороны, в обсуждавшиеся ранее математические модели входили уравнения второго порядка, что, фактически, связано с применением второго закона Ньют</w:t>
      </w:r>
      <w:r>
        <w:rPr>
          <w:sz w:val="28"/>
          <w:szCs w:val="28"/>
        </w:rPr>
        <w:t>она. В связи с этим возникает вопрос: как решать ОДУ высших порядков и их системы?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Оказывается, что метод Эйлера, как, впрочем, и другие численные методы, пригодные для решения задачи Коши (3), можно достаточно легко обобщить на случай решения систем уравн</w:t>
      </w:r>
      <w:r>
        <w:rPr>
          <w:sz w:val="28"/>
          <w:szCs w:val="28"/>
        </w:rPr>
        <w:t>ений первого порядка в канонической форме (см. далее), а уравнения высших степеней сводятся к таким системам уравнений. Сведение дифференциального уравнения высшего порядка к системе уравнений первого порядка достигается с помощью введения дополнительных п</w:t>
      </w:r>
      <w:r>
        <w:rPr>
          <w:sz w:val="28"/>
          <w:szCs w:val="28"/>
        </w:rPr>
        <w:t>еременных, равных последовательным производным неизвестной функции, входящей в это уравнение. В случае уравнения второго порядка типа уравнений гармонического осциллятора или математического маятника достаточно ввести только одну новую переменную, причем и</w:t>
      </w:r>
      <w:r>
        <w:rPr>
          <w:sz w:val="28"/>
          <w:szCs w:val="28"/>
        </w:rPr>
        <w:t>меющую ясный физический смысл. Она является скоростью (линейной - в случае уравнения гармонического осциллятора или угловой - в случае математического маятника).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уравнения математического маятника положим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0002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Тогда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81000" cy="20002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 уравнение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95375" cy="228600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можно записать в форме следующих двух уравнений первого порядка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457200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 xml:space="preserve"> </w:t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  <w:t>(9)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Рассматривая эти уравнения для момента времени</w:t>
      </w:r>
      <w:r>
        <w:rPr>
          <w:sz w:val="28"/>
          <w:szCs w:val="28"/>
        </w:rPr>
        <w:t xml:space="preserve">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2425" cy="228600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имеем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57300" cy="48577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  <w:t>(10)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Согласно основной идее метода Эйлера заменим точные значения производных, входящих в уравнения (9), их допредельными образами: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19300" cy="409575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  <w:t>(11)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180975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шаг по времени, с которым решается рассматриваемое ОДУ. Здесь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0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Подстановка соотношений (11) в уравнения (10) приводит нас к следующим уравнениям метода Эйлера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62100" cy="485775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Полагая 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 xml:space="preserve">=0,1,2,3 и т. д., мы будем получать последовательные значения угла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00025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и соответствующие ему значения угловой скорости </w:t>
      </w:r>
      <w:r>
        <w:rPr>
          <w:sz w:val="28"/>
          <w:szCs w:val="28"/>
          <w:lang w:val="en-US"/>
        </w:rPr>
        <w:t>u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t</w:t>
      </w:r>
      <w:r>
        <w:rPr>
          <w:sz w:val="28"/>
          <w:szCs w:val="28"/>
        </w:rPr>
        <w:t xml:space="preserve">) в последовательные моменты времени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95400" cy="200025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Совершенно аналогичным образом систему двух ОДУ второго порядка, которая описывает движения планет вокруг Солнца (31), можно свести к системе из четырёх уравнений первого порядка, если ввести две дополнительные переменные, представляющие с</w:t>
      </w:r>
      <w:r>
        <w:rPr>
          <w:sz w:val="28"/>
          <w:szCs w:val="28"/>
        </w:rPr>
        <w:t xml:space="preserve">обой скорости движения тела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вдоль координатных осей х и у соответственно: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0050" cy="428625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Тогда исследуемая система принимает вид: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1524000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  <w:t>(12)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Заменяя в системе (12) каждую производную её до</w:t>
      </w:r>
      <w:r>
        <w:rPr>
          <w:sz w:val="28"/>
          <w:szCs w:val="28"/>
        </w:rPr>
        <w:t>предельным образом, получаем явные формулы для решения этой системы методом Эйлера.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Недостатки метода Эйлера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Существует простая геометрическая интерпретация метода Эйлера. Рассмотрим снова задачу Коши (3) для одного ОДУ первой степени и соответствующее</w:t>
      </w:r>
      <w:r>
        <w:rPr>
          <w:sz w:val="28"/>
          <w:szCs w:val="28"/>
        </w:rPr>
        <w:t xml:space="preserve"> ему в методе Эйлера рекуррентное соотношение (8)</w:t>
      </w:r>
    </w:p>
    <w:p w:rsidR="00000000" w:rsidRDefault="00745612">
      <w:pPr>
        <w:spacing w:line="360" w:lineRule="auto"/>
        <w:ind w:firstLine="709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уравнение дифференциальный коши задача</w:t>
      </w:r>
    </w:p>
    <w:p w:rsidR="00000000" w:rsidRDefault="007456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D70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10150" cy="300037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Рис. 1</w:t>
      </w: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 плоскости (х,у) каждому частному решению задачи Коши, которая выделяется начальным условием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отвечает некоторая кривая, которая называется интегральной кривой. Изменяя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мы переходим от одной к другой интегральной кривой. Более того, можно доказать, что через каждую точку плоскости (х,у) проходит одн</w:t>
      </w:r>
      <w:r>
        <w:rPr>
          <w:sz w:val="28"/>
          <w:szCs w:val="28"/>
        </w:rPr>
        <w:t>а и только одна интегральная кривая.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Пусть решению рассматриваемой нами задачи Коши на рис. 1 отвечает жирная интегральная кривая. Рекуррентное уравнение метода Эйлера (8) можно записать в форме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62025" cy="228600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  <w:t>(13)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Поскольку,</w:t>
      </w:r>
      <w:r>
        <w:rPr>
          <w:sz w:val="28"/>
          <w:szCs w:val="28"/>
        </w:rPr>
        <w:t xml:space="preserve"> согласно решаемому нами ОДУ,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228600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Если считать параметр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непрерывной переменной, то легко понять, что уравнение (13) представляет собой уравнение касательной, проведённой в точке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28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 инте</w:t>
      </w:r>
      <w:r>
        <w:rPr>
          <w:sz w:val="28"/>
          <w:szCs w:val="28"/>
        </w:rPr>
        <w:t>гральной кривой у(х), проходящей через эту точку.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на каждом шаге метода Эйлера мы заменяем истинную интегральную кривую отрезком касательной, проведённой к этой кривой в начале микроинтервала [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28600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]. Тем самым мы отклоняемся от искомой интегральной кривой на некоторую маленькую величину, причём её малость определяется малостью шага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результате, на втором шаге метода Эйлера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1907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мы строим касательную в точке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190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не к истинной, а к другой интегральной кривой - той, которая проходит через эту точку и, таким образом, ещё больше отклоняемся от искомой интегральной кри</w:t>
      </w:r>
      <w:r>
        <w:rPr>
          <w:sz w:val="28"/>
          <w:szCs w:val="28"/>
        </w:rPr>
        <w:t xml:space="preserve">вой, удовлетворяющей начальному условию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28600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 методе Эйлера мы заменяем искомую интегральную кривую некоторой ломаной линией, которая, по мере отдаления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от начальной точки</w:t>
      </w:r>
      <w:r>
        <w:rPr>
          <w:sz w:val="28"/>
          <w:szCs w:val="28"/>
        </w:rPr>
        <w:t xml:space="preserve">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всё более и более отклоняется от этой интегральной кривой. Иными словами, абсолютная погрешность метода Эйлера имеет тенденцию к нарастанию по мере увеличения числа шагов этого метода.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Может показаться, что если выбра</w:t>
      </w:r>
      <w:r>
        <w:rPr>
          <w:sz w:val="28"/>
          <w:szCs w:val="28"/>
        </w:rPr>
        <w:t xml:space="preserve">ть шаг интегрирования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более маленьким, то можно существенным образом уменьшить эту погрешность. В общем случае это, однако, не так. Действительно, если мы должны получить решение исходной задачи Коши (3) на некотором заданном макроинтервале [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00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], то уменьшение шага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влечёт за собой увеличение числа шагов интегрирования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, поскольку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95350" cy="4191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«Локальная погрешность» (погрешность на одном шаге) уменьшается при у</w:t>
      </w:r>
      <w:r>
        <w:rPr>
          <w:sz w:val="28"/>
          <w:szCs w:val="28"/>
        </w:rPr>
        <w:t xml:space="preserve">меньшении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, но увеличение числа шагов может привести к росту «глобальной погрешности» на заданном интервале [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0025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]. Вышеуказанная ситуация характерна для неустойчивых вычислительных проце</w:t>
      </w:r>
      <w:r>
        <w:rPr>
          <w:sz w:val="28"/>
          <w:szCs w:val="28"/>
        </w:rPr>
        <w:t>ссов, использование которых на практике может привести к катастрофическим последствиям. В силу этого, необходимо рассматривать такие методы численного решения ОДУ, которые порождают достаточно устойчивые численные алгоритмы.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Весьма распространёнными и хоро</w:t>
      </w:r>
      <w:r>
        <w:rPr>
          <w:sz w:val="28"/>
          <w:szCs w:val="28"/>
        </w:rPr>
        <w:t>шо зарекомендовавшими себя на практике для решения ОДУ являются методы Рунге-Кутты. Это целый класс методов и мы, в качестве примера, рассмотрим так называемый четырёхточечный метод Рунге-Кутты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. Четырёхточечный метод Рунге-Кутты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Ниже кратко описано прим</w:t>
      </w:r>
      <w:r>
        <w:rPr>
          <w:sz w:val="28"/>
          <w:szCs w:val="28"/>
        </w:rPr>
        <w:t>енение четырёхточечного метода Рунге-Кутты для решения задачи Коши (11) для дифференциального уравнения первого порядка, разрешённого относительно производной. Таким образом, мы будем рассматривать ту же самую задачу Коши, решение которой ранее рассматрива</w:t>
      </w:r>
      <w:r>
        <w:rPr>
          <w:sz w:val="28"/>
          <w:szCs w:val="28"/>
        </w:rPr>
        <w:t>лось методом Эйлера.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Заметим, прежде всего, что решение дифференциального уравнения (3а) фактически определяет зависимость первой производной от двух независимых переменных - х и у. Это очень хорошо видно из рис. 1: фиксируя х, мы имеем бесконечное множес</w:t>
      </w:r>
      <w:r>
        <w:rPr>
          <w:sz w:val="28"/>
          <w:szCs w:val="28"/>
        </w:rPr>
        <w:t xml:space="preserve">тво значение производной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002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поскольку каждая из пересекаемых вертикальной линией х=</w:t>
      </w:r>
      <w:r>
        <w:rPr>
          <w:sz w:val="28"/>
          <w:szCs w:val="28"/>
          <w:lang w:val="en-US"/>
        </w:rPr>
        <w:t>const</w:t>
      </w:r>
      <w:r>
        <w:rPr>
          <w:sz w:val="28"/>
          <w:szCs w:val="28"/>
        </w:rPr>
        <w:t xml:space="preserve"> интегральных кривых имеет своё направление касательной.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Описываемый метод Рунге-Кутты, как и метод Эйлера, состоит из последовательн</w:t>
      </w:r>
      <w:r>
        <w:rPr>
          <w:sz w:val="28"/>
          <w:szCs w:val="28"/>
        </w:rPr>
        <w:t xml:space="preserve">ости шагов величиной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, но, в отличие от последнего метода, на каждом шаге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находится не одно значение производной (в методе Эйлера находилось лишь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42975" cy="228600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), а несколько. Они соответствуют разным значениям аргументов функции </w:t>
      </w:r>
      <w:r>
        <w:rPr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(х,у). В четырёхточечном методе Рунге-Кутты (откуда и происходит его название) находится четыре различных значения и делается некоторое специфическое их усреднение (то есть берётся не простое среднее арифметическое значение этих производных!). После этого </w:t>
      </w:r>
      <w:r>
        <w:rPr>
          <w:sz w:val="28"/>
          <w:szCs w:val="28"/>
        </w:rPr>
        <w:t xml:space="preserve">делается перемещение из точки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286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в точку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85800" cy="228600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 прямой в направлении тангенса угла наклона, которое определяется этим усреднённым значением производной. Заметим, что разные варианты методов Р</w:t>
      </w:r>
      <w:r>
        <w:rPr>
          <w:sz w:val="28"/>
          <w:szCs w:val="28"/>
        </w:rPr>
        <w:t xml:space="preserve">унге-Кутты отличаются друг от друга стратегией выбора точек, в которых находятся производные на микроинтервале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и формулой усреднения значения этих производных.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33975" cy="3448050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Рис. 2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Рассмотрим детально эту процедуру для одного шаг</w:t>
      </w:r>
      <w:r>
        <w:rPr>
          <w:sz w:val="28"/>
          <w:szCs w:val="28"/>
        </w:rPr>
        <w:t xml:space="preserve">а метода Рунге-Кутты, который приводит к увеличению аргумента х на величину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, то есть определяет переход от значения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 значению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19150" cy="228600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Один такой шаг состоит из следующих четырёх этапов.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</w:rPr>
        <w:t xml:space="preserve">тап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. Находим производную к интегральной кривой в точке 1 с координатами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28600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подставляя эти координаты в правую часть дифференциального уравнения, т.е. вычисляя значение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14400" cy="228600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Из точки 1: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28600"/>
            <wp:effectExtent l="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9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перемещаемся на полшага вперёд по прямой, направление которой задаётся этим значением производной (то есть по прямой с тангенсом угла наклона к оси абсцисс, равным значению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19075"/>
            <wp:effectExtent l="0" t="0" r="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(этот этап метода Рунге-Кутты полностью аналогичен шагу метода Эйлера с шагом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/2). В результате, в плоскости (х,у) мы переходим в точку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81100" cy="390525"/>
            <wp:effectExtent l="0" t="0" r="0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>.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>. Через найденную таким образом точку</w:t>
      </w:r>
      <w:r>
        <w:rPr>
          <w:sz w:val="28"/>
          <w:szCs w:val="28"/>
        </w:rPr>
        <w:t xml:space="preserve"> 2 проходит своя интегральная кривая и мы находим направление касательной к ней, то есть вычисляем значение производной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47825" cy="390525"/>
            <wp:effectExtent l="0" t="0" r="0" b="0"/>
            <wp:docPr id="96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Далее делается полшага вперёд с найденным значением производной (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19075"/>
            <wp:effectExtent l="0" t="0" r="0" b="0"/>
            <wp:docPr id="97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), но снова из начальной точки микроинтервала [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6700" cy="2286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]. Таким образом, мы переходим в плоскости (х,у) в точку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390525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10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>.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 В этой точке находим значени</w:t>
      </w:r>
      <w:r>
        <w:rPr>
          <w:sz w:val="28"/>
          <w:szCs w:val="28"/>
        </w:rPr>
        <w:t xml:space="preserve">е производной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подставляя её координаты в правую часть дифференциального уравнения: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38300" cy="3905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Эта производная определяет направление касательной к интегральной кривой, проходящей через точку </w:t>
      </w:r>
      <w:r>
        <w:rPr>
          <w:sz w:val="28"/>
          <w:szCs w:val="28"/>
        </w:rPr>
        <w:t>3.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Этап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. Из начальной точки 1: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28600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делаем на сей раз полный шаг вперёд (на величину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по оси х) по прямой, в направлении, которое определяется значением производной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В результате мы переходим в точку</w:t>
      </w: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19200" cy="228600"/>
            <wp:effectExtent l="0" t="0" r="0" b="0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Находим производную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19075"/>
            <wp:effectExtent l="0" t="0" r="0" b="0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 этой точке подстановкой её координат в правую часть дифференциального уравнения: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  <w:lang w:val="en-US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228600"/>
            <wp:effectExtent l="0" t="0" r="0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10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результате четырёх описанных выше этапов мы нашли четыре значения производных. Производим их усреднение по формуле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66875" cy="409575"/>
            <wp:effectExtent l="0" t="0" r="0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/>
                    <pic:cNvPicPr>
                      <a:picLocks noChangeAspect="1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  <w:t>(14)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38125"/>
            <wp:effectExtent l="0" t="0" r="0" b="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1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некоторым средневзвешенным значением найдённых четырёх производных: двум «внутренним» значениям производном соответствуют весовые множители 2, а двум крайним - множители 1 [деление в формуле (14) производится на сумму этих четырёх весовых множител</w:t>
      </w:r>
      <w:r>
        <w:rPr>
          <w:sz w:val="28"/>
          <w:szCs w:val="28"/>
        </w:rPr>
        <w:t>ей: 6=1+2+2+1].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Далее мы перемещаемся по прямой из начальной точки 1: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14350" cy="228600"/>
            <wp:effectExtent l="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в направлении, тангенс угла наклона которого к оси абсцисс определяется средним значением производной из формулы (14). Таким образом, из начальной точк</w:t>
      </w:r>
      <w:r>
        <w:rPr>
          <w:sz w:val="28"/>
          <w:szCs w:val="28"/>
        </w:rPr>
        <w:t xml:space="preserve">и с координатами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28600"/>
            <wp:effectExtent l="0" t="0" r="0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переходим в точку плоскости (х,у) с координатами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38125"/>
            <wp:effectExtent l="0" t="0" r="0" b="0"/>
            <wp:docPr id="112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>.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Иными словами, полный шаг метода Рунге-Кутты определяется формулами</w:t>
      </w:r>
    </w:p>
    <w:p w:rsidR="00000000" w:rsidRDefault="007456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38225" cy="457200"/>
            <wp:effectExtent l="0" t="0" r="0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1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>(15)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теории методов Рунге-Кутты строго доказывается, что именно такое усреднении четырёх значений производной, найденное вышеуказанным методом, даёт наилучшее приближение к правильному результату для значения неизвестной функции у(х) на правом конце мик</w:t>
      </w:r>
      <w:r>
        <w:rPr>
          <w:sz w:val="28"/>
          <w:szCs w:val="28"/>
        </w:rPr>
        <w:t xml:space="preserve">роинтервала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28600"/>
            <wp:effectExtent l="0" t="0" r="0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Более того, порядок точности рассматриваемого метода Рунге-Кутты на одном шаге величины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оценивается формулой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28675" cy="228600"/>
            <wp:effectExtent l="0" t="0" r="0" b="0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 xml:space="preserve">, </w:t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</w:r>
      <w:r w:rsidR="00745612">
        <w:rPr>
          <w:sz w:val="28"/>
          <w:szCs w:val="28"/>
        </w:rPr>
        <w:tab/>
        <w:t>(16)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228600"/>
            <wp:effectExtent l="0" t="0" r="0" b="0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Здесь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6725" cy="228600"/>
            <wp:effectExtent l="0" t="0" r="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есть пятая производная от искомого решения дифференциального уравнения (3а) в некоторой точке на микроинтервале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228600"/>
            <wp:effectExtent l="0" t="0" r="0" b="0"/>
            <wp:docPr id="118" name="Рисунок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/>
                    <pic:cNvPicPr>
                      <a:picLocks noChangeAspect="1" noChangeArrowheads="1"/>
                    </pic:cNvPicPr>
                  </pic:nvPicPr>
                  <pic:blipFill>
                    <a:blip r:embed="rId1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Таким образом, локальная по</w:t>
      </w:r>
      <w:r>
        <w:rPr>
          <w:sz w:val="28"/>
          <w:szCs w:val="28"/>
        </w:rPr>
        <w:t xml:space="preserve">грешность метода Рунге-Кутты (то есть погрешность на одном шаге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) пропорциональна пятой степени шага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 xml:space="preserve"> и пятой производной искомого решения дифференциального уравнения.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Оценки точности типа (16) позволяют грубо оценить величину шага интегрирования шага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необходимого для достижения требуемой точности решения исходного дифференциального уравнения. Для метода Эйлера аналогичная погрешность на одном шаге определяется формулой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52475" cy="228600"/>
            <wp:effectExtent l="0" t="0" r="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четырёхточечный метод Рунге-Кут</w:t>
      </w:r>
      <w:r>
        <w:rPr>
          <w:sz w:val="28"/>
          <w:szCs w:val="28"/>
        </w:rPr>
        <w:t xml:space="preserve">ты на три порядка по шагу точнее метода Эйлера (например, при </w:t>
      </w:r>
      <w:r>
        <w:rPr>
          <w:sz w:val="28"/>
          <w:szCs w:val="28"/>
          <w:lang w:val="en-US"/>
        </w:rPr>
        <w:t>h</w:t>
      </w:r>
      <w:r>
        <w:rPr>
          <w:sz w:val="28"/>
          <w:szCs w:val="28"/>
        </w:rPr>
        <w:t>=0.01 точность метода Рунге-Кутты в миллион раз выше точности метода Эйлера).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Более того, оказывается, что метод Рунге-Кутты порождает достаточно устойчивый вычислительный процесс и может, таки</w:t>
      </w:r>
      <w:r>
        <w:rPr>
          <w:sz w:val="28"/>
          <w:szCs w:val="28"/>
        </w:rPr>
        <w:t>м образом, применяться для решения широких классов дифференциальных уравнений.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Обобщение четырёхточечного метода Рунге-Кутты на случай решения систем дифференциальных уравнений в каноническом виде может быть сделано в полной аналогии с тем, как это делаетс</w:t>
      </w:r>
      <w:r>
        <w:rPr>
          <w:sz w:val="28"/>
          <w:szCs w:val="28"/>
        </w:rPr>
        <w:t>я для метода Эйлера.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этом на каждом этапе метода Рунге-Кутты идёт вычисление четырёх наборов производных, соответствующих всем искомым функциям </w:t>
      </w:r>
      <w:r w:rsidR="00BD700B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0525" cy="238125"/>
            <wp:effectExtent l="0" t="0" r="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1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которые определяются дифференциальными уравнениями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BD700B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76400" cy="914400"/>
            <wp:effectExtent l="0" t="0" r="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5612">
        <w:rPr>
          <w:sz w:val="28"/>
          <w:szCs w:val="28"/>
        </w:rPr>
        <w:t>.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Эти уравнения и представляют собой систему ОДУ в канонической форме.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Последнее замечание. При решении задач в рамках настоящего пособия мы будем использовать математический пакет </w:t>
      </w:r>
      <w:r>
        <w:rPr>
          <w:sz w:val="28"/>
          <w:szCs w:val="28"/>
          <w:lang w:val="en-US"/>
        </w:rPr>
        <w:t>Maple</w:t>
      </w:r>
      <w:r>
        <w:rPr>
          <w:sz w:val="28"/>
          <w:szCs w:val="28"/>
        </w:rPr>
        <w:t>, который предоставляет достаточно</w:t>
      </w:r>
      <w:r>
        <w:rPr>
          <w:sz w:val="28"/>
          <w:szCs w:val="28"/>
        </w:rPr>
        <w:t xml:space="preserve"> широкие возможности для численного решения ОДУ (можно использовать разные численные методы) и построения графиков их решений. Таким образом, при решении предлагаемых в пособии задач студентам не придётся сами программировать метод Рунге-Кутты или какие-ли</w:t>
      </w:r>
      <w:r>
        <w:rPr>
          <w:sz w:val="28"/>
          <w:szCs w:val="28"/>
        </w:rPr>
        <w:t>бо другие методы численного решения дифференциальных уравнений.</w:t>
      </w:r>
    </w:p>
    <w:p w:rsidR="00000000" w:rsidRDefault="00745612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Численное (а по возможности, и аналитическое) решение ОДУ на языке </w:t>
      </w:r>
      <w:r>
        <w:rPr>
          <w:sz w:val="28"/>
          <w:szCs w:val="28"/>
          <w:lang w:val="en-US"/>
        </w:rPr>
        <w:t>Maple</w:t>
      </w:r>
      <w:r>
        <w:rPr>
          <w:sz w:val="28"/>
          <w:szCs w:val="28"/>
        </w:rPr>
        <w:t xml:space="preserve"> осуществляется с помощью оператора </w:t>
      </w:r>
      <w:r>
        <w:rPr>
          <w:sz w:val="28"/>
          <w:szCs w:val="28"/>
          <w:lang w:val="en-US"/>
        </w:rPr>
        <w:t>dsolve</w:t>
      </w:r>
      <w:r>
        <w:rPr>
          <w:sz w:val="28"/>
          <w:szCs w:val="28"/>
        </w:rPr>
        <w:t>, с разными спецификациями, которые, в частности, позволяют выбрать необходимы</w:t>
      </w:r>
      <w:r>
        <w:rPr>
          <w:sz w:val="28"/>
          <w:szCs w:val="28"/>
        </w:rPr>
        <w:t>й метод численного интегрирования. По умолчанию используется некоторая модификация чеитырёхточечного метода Рунге-Кутты, которая получила название метода Рунге-Кутты-Фельдберга. Она осуществляет решение ОДУ с переменным шагом, величина которого подбирается</w:t>
      </w:r>
      <w:r>
        <w:rPr>
          <w:sz w:val="28"/>
          <w:szCs w:val="28"/>
        </w:rPr>
        <w:t xml:space="preserve"> в зависимости от скорости изменения искомого решения (то есть от крутизны соответствующей интегральной кривой).</w:t>
      </w:r>
    </w:p>
    <w:p w:rsidR="00000000" w:rsidRDefault="00745612">
      <w:pPr>
        <w:ind w:firstLine="709"/>
        <w:rPr>
          <w:sz w:val="28"/>
          <w:szCs w:val="28"/>
        </w:rPr>
      </w:pPr>
    </w:p>
    <w:p w:rsidR="00000000" w:rsidRDefault="007456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Вычислительный эксперимент</w:t>
      </w: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предыдущих разделах рассматривались понятия математической модели и дифференциальных уравнений, которые сос</w:t>
      </w:r>
      <w:r>
        <w:rPr>
          <w:sz w:val="28"/>
          <w:szCs w:val="28"/>
        </w:rPr>
        <w:t>тавляют неотъемлемую часть большинства таких моделей, по крайней мере тех, которые мы обсуждаем в настоящем пособии. Мы обсудили также простейшие численные методы решения дифференциальных уравнений. Таким образом, у нас есть средства для численного исследо</w:t>
      </w:r>
      <w:r>
        <w:rPr>
          <w:sz w:val="28"/>
          <w:szCs w:val="28"/>
        </w:rPr>
        <w:t>вания разнообразных математических моделей, описываемых дифференциальными уравнениями. Теперь настаёт черёд постановки соответствующих вычислительных (компьютерных) экспериментов, с помощью которых и проводится исследование рассматриваемых математических м</w:t>
      </w:r>
      <w:r>
        <w:rPr>
          <w:sz w:val="28"/>
          <w:szCs w:val="28"/>
        </w:rPr>
        <w:t>оделей, описывающих изучаемые физические явления.</w:t>
      </w: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Суть вычислительного эксперимента заключается в том, что с помощью некоторой компьютерной программы мы проводим численное исследование рассматриваемой нами математической модели, варьируя различные входящие</w:t>
      </w:r>
      <w:r>
        <w:rPr>
          <w:sz w:val="28"/>
          <w:szCs w:val="28"/>
        </w:rPr>
        <w:t xml:space="preserve"> в модель параметры.</w:t>
      </w: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результатом вычислительного эксперимента является некоторая числовая информация, выдаваемая компьютером в виде таблиц и (или) графиков. Например, мы проводим расчеты возможных траекторий полёта космического аппарата с учётом</w:t>
      </w:r>
      <w:r>
        <w:rPr>
          <w:sz w:val="28"/>
          <w:szCs w:val="28"/>
        </w:rPr>
        <w:t xml:space="preserve"> различных факторов, влияющих на этот полёт, пытаясь найти в том или ином смысле оптимальный вариант.</w:t>
      </w: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По-видимому, наиболее интересными являются те задачи, решение которых заключается в анализе качественно различных режимов поведения системы в зависимости </w:t>
      </w:r>
      <w:r>
        <w:rPr>
          <w:sz w:val="28"/>
          <w:szCs w:val="28"/>
        </w:rPr>
        <w:t>от задаваемого набора свободных параметров математической модели. Такая постановка задачи является очень типичной при исследовании проблем нелинейной физики. При этом роль вычислительного эксперимента вполне аналогична роли натурного физического эксперимен</w:t>
      </w:r>
      <w:r>
        <w:rPr>
          <w:sz w:val="28"/>
          <w:szCs w:val="28"/>
        </w:rPr>
        <w:t>та. Заметив некоторый особый режим поведения рассматриваемой нами модели, мы в дальнейшем пытаемся выяснить физическую природу данного физического явления.</w:t>
      </w: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Может быть, для этого придётся построить некоторую приближённую аналитическую теорию, поставить ряд </w:t>
      </w:r>
      <w:r>
        <w:rPr>
          <w:sz w:val="28"/>
          <w:szCs w:val="28"/>
        </w:rPr>
        <w:t xml:space="preserve">реальных физических экспериментов, подтверждающих или, наоборот опровергающих результаты численного эксперимента (что вполне возможно в случае ошибочности построения математической модели или неучёта в ней каких-либо существенных факторов). Таким образом, </w:t>
      </w:r>
      <w:r>
        <w:rPr>
          <w:sz w:val="28"/>
          <w:szCs w:val="28"/>
        </w:rPr>
        <w:t>вычислительный эксперимент может сыграть существенную эвристическую роль, натолкнув исследователя на некоторые новые физические идеи. Приведённая в начале настоящего пособия краткая история зарождения солитонной физики была нацелена как раз на то, чтобы от</w:t>
      </w:r>
      <w:r>
        <w:rPr>
          <w:sz w:val="28"/>
          <w:szCs w:val="28"/>
        </w:rPr>
        <w:t>тенить именно эту идею.</w:t>
      </w: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Подведём итоги. Суть вычислительной физики заключается в построении математических моделей, адекватных изучаемым физическим явлениям, в разработке соответствующих приближённых аналитических и численных методов и в исследовании этих </w:t>
      </w:r>
      <w:r>
        <w:rPr>
          <w:sz w:val="28"/>
          <w:szCs w:val="28"/>
        </w:rPr>
        <w:t>моделей с помощью проведения соответствующих вычислительных (компьютерных) экспериментов. Особенно эффективны методы вычислительной физики при рассмотрении соответствующих задач нелинейной физики, где очень редко удаётся получить какие-либо точные аналитич</w:t>
      </w:r>
      <w:r>
        <w:rPr>
          <w:sz w:val="28"/>
          <w:szCs w:val="28"/>
        </w:rPr>
        <w:t>еские результаты.</w:t>
      </w: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описанные в настоящем разделе идеи будут подробно рассмотрены нами на примерах исследования ряда проблем классической механики, вполне доступных для понимания студентов младших курсов. Рассмотрение же математических моделей из других </w:t>
      </w:r>
      <w:r>
        <w:rPr>
          <w:sz w:val="28"/>
          <w:szCs w:val="28"/>
        </w:rPr>
        <w:t>областей физики может потребовать привлечения знаний квантовой механики, электродинамики, физики твёрдого тела, теории квантовых полей и т.д., знание которых на втором курсе физического факультета ещё не предполагается.</w:t>
      </w:r>
    </w:p>
    <w:p w:rsidR="00000000" w:rsidRDefault="0074561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000000" w:rsidRDefault="00745612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7456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Касьянов В.И.: Руко</w:t>
      </w:r>
      <w:r>
        <w:rPr>
          <w:sz w:val="28"/>
          <w:szCs w:val="28"/>
        </w:rPr>
        <w:t>водство к решению задач по высшей математике. - М.: Юрайт, 2011</w:t>
      </w:r>
    </w:p>
    <w:p w:rsidR="00000000" w:rsidRDefault="007456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НИУ БелГУ ; гл. ред. Л.Я. Дятченко: Научные ведомости Белгородского государственного университета. - Белгород: ИПК НИУ "БелГУ", 2011</w:t>
      </w:r>
    </w:p>
    <w:p w:rsidR="00000000" w:rsidRDefault="007456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Чеканов Н.А.: Применение дифференциальных уравнений в к</w:t>
      </w:r>
      <w:r>
        <w:rPr>
          <w:sz w:val="28"/>
          <w:szCs w:val="28"/>
        </w:rPr>
        <w:t>урсе общей физики. - Белгород: НИУ БелГУ, 2011</w:t>
      </w:r>
    </w:p>
    <w:p w:rsidR="00000000" w:rsidRDefault="007456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Абрамочкин Е.Г.: Современная оптика гауссовых пучков. - М.: ФИЗМАТЛИТ, 2010</w:t>
      </w:r>
    </w:p>
    <w:p w:rsidR="00000000" w:rsidRDefault="007456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Алексеев Г.В.: Оптимизация в стационарных задачах тепломассопереноса и магнитной гидродинамики. - М.: Научный мир, 2010</w:t>
      </w:r>
    </w:p>
    <w:p w:rsidR="00000000" w:rsidRDefault="007456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. Бирман </w:t>
      </w:r>
      <w:r>
        <w:rPr>
          <w:sz w:val="28"/>
          <w:szCs w:val="28"/>
        </w:rPr>
        <w:t>М.Ш.: Избранные труды. - Ижевск: Ижевский институт компьютерных исследований, 2010</w:t>
      </w:r>
    </w:p>
    <w:p w:rsidR="00000000" w:rsidRDefault="007456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Козлов В.В.: Избранные работы по математике, механике и математической физике. - Ижевск: НИЦ "Регулярная и хаотическая динамика" ; , 2010</w:t>
      </w:r>
    </w:p>
    <w:p w:rsidR="00000000" w:rsidRDefault="007456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Лакс П.Д.: Гиперболические диф</w:t>
      </w:r>
      <w:r>
        <w:rPr>
          <w:sz w:val="28"/>
          <w:szCs w:val="28"/>
        </w:rPr>
        <w:t>ференциальные уравнения в частых производных. - Ижевск: Ижевский ин-т компьютерных исследований, 2010</w:t>
      </w:r>
    </w:p>
    <w:p w:rsidR="00000000" w:rsidRDefault="007456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Николаевский В.Н.: Собрание трудов. Геомеханика. - Ижевск: Ижевский институт компьютерных исследований, 2010</w:t>
      </w:r>
    </w:p>
    <w:p w:rsidR="00000000" w:rsidRDefault="007456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НИУ БелГУ ; гл. ред. Л.Я. Дятченко: Научн</w:t>
      </w:r>
      <w:r>
        <w:rPr>
          <w:sz w:val="28"/>
          <w:szCs w:val="28"/>
        </w:rPr>
        <w:t>ые ведомости Белгородского государственного университета. - Белгород: БелГУ, 2010</w:t>
      </w:r>
    </w:p>
    <w:p w:rsidR="00745612" w:rsidRDefault="007456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. Новосадов Б.К.: Методы математической физики молекулярных систем. - М.: ЛИБРОКОМ, 2010</w:t>
      </w:r>
    </w:p>
    <w:sectPr w:rsidR="0074561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00B"/>
    <w:rsid w:val="00745612"/>
    <w:rsid w:val="00BD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3CA2FB-308D-4C8E-AD57-C415184D0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wmf"/><Relationship Id="rId117" Type="http://schemas.openxmlformats.org/officeDocument/2006/relationships/image" Target="media/image114.wmf"/><Relationship Id="rId21" Type="http://schemas.openxmlformats.org/officeDocument/2006/relationships/image" Target="media/image18.wmf"/><Relationship Id="rId42" Type="http://schemas.openxmlformats.org/officeDocument/2006/relationships/image" Target="media/image39.wmf"/><Relationship Id="rId47" Type="http://schemas.openxmlformats.org/officeDocument/2006/relationships/image" Target="media/image4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84" Type="http://schemas.openxmlformats.org/officeDocument/2006/relationships/image" Target="media/image81.wmf"/><Relationship Id="rId89" Type="http://schemas.openxmlformats.org/officeDocument/2006/relationships/image" Target="media/image86.wmf"/><Relationship Id="rId112" Type="http://schemas.openxmlformats.org/officeDocument/2006/relationships/image" Target="media/image109.wmf"/><Relationship Id="rId16" Type="http://schemas.openxmlformats.org/officeDocument/2006/relationships/image" Target="media/image13.wmf"/><Relationship Id="rId107" Type="http://schemas.openxmlformats.org/officeDocument/2006/relationships/image" Target="media/image104.wmf"/><Relationship Id="rId11" Type="http://schemas.openxmlformats.org/officeDocument/2006/relationships/image" Target="media/image8.wmf"/><Relationship Id="rId32" Type="http://schemas.openxmlformats.org/officeDocument/2006/relationships/image" Target="media/image29.wmf"/><Relationship Id="rId37" Type="http://schemas.openxmlformats.org/officeDocument/2006/relationships/image" Target="media/image34.wmf"/><Relationship Id="rId53" Type="http://schemas.openxmlformats.org/officeDocument/2006/relationships/image" Target="media/image50.wmf"/><Relationship Id="rId58" Type="http://schemas.openxmlformats.org/officeDocument/2006/relationships/image" Target="media/image55.wmf"/><Relationship Id="rId74" Type="http://schemas.openxmlformats.org/officeDocument/2006/relationships/image" Target="media/image71.wmf"/><Relationship Id="rId79" Type="http://schemas.openxmlformats.org/officeDocument/2006/relationships/image" Target="media/image76.wmf"/><Relationship Id="rId102" Type="http://schemas.openxmlformats.org/officeDocument/2006/relationships/image" Target="media/image99.wmf"/><Relationship Id="rId123" Type="http://schemas.openxmlformats.org/officeDocument/2006/relationships/image" Target="media/image120.wmf"/><Relationship Id="rId5" Type="http://schemas.openxmlformats.org/officeDocument/2006/relationships/image" Target="media/image2.wmf"/><Relationship Id="rId90" Type="http://schemas.openxmlformats.org/officeDocument/2006/relationships/image" Target="media/image87.wmf"/><Relationship Id="rId95" Type="http://schemas.openxmlformats.org/officeDocument/2006/relationships/image" Target="media/image92.wmf"/><Relationship Id="rId22" Type="http://schemas.openxmlformats.org/officeDocument/2006/relationships/image" Target="media/image19.wmf"/><Relationship Id="rId27" Type="http://schemas.openxmlformats.org/officeDocument/2006/relationships/image" Target="media/image24.wmf"/><Relationship Id="rId43" Type="http://schemas.openxmlformats.org/officeDocument/2006/relationships/image" Target="media/image40.wmf"/><Relationship Id="rId48" Type="http://schemas.openxmlformats.org/officeDocument/2006/relationships/image" Target="media/image45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113" Type="http://schemas.openxmlformats.org/officeDocument/2006/relationships/image" Target="media/image110.wmf"/><Relationship Id="rId118" Type="http://schemas.openxmlformats.org/officeDocument/2006/relationships/image" Target="media/image115.wmf"/><Relationship Id="rId80" Type="http://schemas.openxmlformats.org/officeDocument/2006/relationships/image" Target="media/image77.wmf"/><Relationship Id="rId85" Type="http://schemas.openxmlformats.org/officeDocument/2006/relationships/image" Target="media/image82.wmf"/><Relationship Id="rId12" Type="http://schemas.openxmlformats.org/officeDocument/2006/relationships/image" Target="media/image9.wmf"/><Relationship Id="rId17" Type="http://schemas.openxmlformats.org/officeDocument/2006/relationships/image" Target="media/image14.wmf"/><Relationship Id="rId33" Type="http://schemas.openxmlformats.org/officeDocument/2006/relationships/image" Target="media/image30.wmf"/><Relationship Id="rId38" Type="http://schemas.openxmlformats.org/officeDocument/2006/relationships/image" Target="media/image35.wmf"/><Relationship Id="rId59" Type="http://schemas.openxmlformats.org/officeDocument/2006/relationships/image" Target="media/image56.wmf"/><Relationship Id="rId103" Type="http://schemas.openxmlformats.org/officeDocument/2006/relationships/image" Target="media/image100.wmf"/><Relationship Id="rId108" Type="http://schemas.openxmlformats.org/officeDocument/2006/relationships/image" Target="media/image105.wmf"/><Relationship Id="rId124" Type="http://schemas.openxmlformats.org/officeDocument/2006/relationships/fontTable" Target="fontTable.xml"/><Relationship Id="rId54" Type="http://schemas.openxmlformats.org/officeDocument/2006/relationships/image" Target="media/image51.wmf"/><Relationship Id="rId70" Type="http://schemas.openxmlformats.org/officeDocument/2006/relationships/image" Target="media/image67.wmf"/><Relationship Id="rId75" Type="http://schemas.openxmlformats.org/officeDocument/2006/relationships/image" Target="media/image72.wmf"/><Relationship Id="rId91" Type="http://schemas.openxmlformats.org/officeDocument/2006/relationships/image" Target="media/image88.wmf"/><Relationship Id="rId96" Type="http://schemas.openxmlformats.org/officeDocument/2006/relationships/image" Target="media/image93.wmf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23" Type="http://schemas.openxmlformats.org/officeDocument/2006/relationships/image" Target="media/image20.wmf"/><Relationship Id="rId28" Type="http://schemas.openxmlformats.org/officeDocument/2006/relationships/image" Target="media/image25.wmf"/><Relationship Id="rId49" Type="http://schemas.openxmlformats.org/officeDocument/2006/relationships/image" Target="media/image46.wmf"/><Relationship Id="rId114" Type="http://schemas.openxmlformats.org/officeDocument/2006/relationships/image" Target="media/image111.wmf"/><Relationship Id="rId119" Type="http://schemas.openxmlformats.org/officeDocument/2006/relationships/image" Target="media/image116.wmf"/><Relationship Id="rId44" Type="http://schemas.openxmlformats.org/officeDocument/2006/relationships/image" Target="media/image4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81" Type="http://schemas.openxmlformats.org/officeDocument/2006/relationships/image" Target="media/image78.wmf"/><Relationship Id="rId86" Type="http://schemas.openxmlformats.org/officeDocument/2006/relationships/image" Target="media/image83.wmf"/><Relationship Id="rId13" Type="http://schemas.openxmlformats.org/officeDocument/2006/relationships/image" Target="media/image10.wmf"/><Relationship Id="rId18" Type="http://schemas.openxmlformats.org/officeDocument/2006/relationships/image" Target="media/image15.wmf"/><Relationship Id="rId39" Type="http://schemas.openxmlformats.org/officeDocument/2006/relationships/image" Target="media/image36.wmf"/><Relationship Id="rId109" Type="http://schemas.openxmlformats.org/officeDocument/2006/relationships/image" Target="media/image106.wmf"/><Relationship Id="rId34" Type="http://schemas.openxmlformats.org/officeDocument/2006/relationships/image" Target="media/image31.wmf"/><Relationship Id="rId50" Type="http://schemas.openxmlformats.org/officeDocument/2006/relationships/image" Target="media/image47.wmf"/><Relationship Id="rId55" Type="http://schemas.openxmlformats.org/officeDocument/2006/relationships/image" Target="media/image52.wmf"/><Relationship Id="rId76" Type="http://schemas.openxmlformats.org/officeDocument/2006/relationships/image" Target="media/image73.wmf"/><Relationship Id="rId97" Type="http://schemas.openxmlformats.org/officeDocument/2006/relationships/image" Target="media/image94.wmf"/><Relationship Id="rId104" Type="http://schemas.openxmlformats.org/officeDocument/2006/relationships/image" Target="media/image101.wmf"/><Relationship Id="rId120" Type="http://schemas.openxmlformats.org/officeDocument/2006/relationships/image" Target="media/image117.wmf"/><Relationship Id="rId125" Type="http://schemas.openxmlformats.org/officeDocument/2006/relationships/theme" Target="theme/theme1.xml"/><Relationship Id="rId7" Type="http://schemas.openxmlformats.org/officeDocument/2006/relationships/image" Target="media/image4.wmf"/><Relationship Id="rId71" Type="http://schemas.openxmlformats.org/officeDocument/2006/relationships/image" Target="media/image68.wmf"/><Relationship Id="rId92" Type="http://schemas.openxmlformats.org/officeDocument/2006/relationships/image" Target="media/image89.wmf"/><Relationship Id="rId2" Type="http://schemas.openxmlformats.org/officeDocument/2006/relationships/settings" Target="settings.xml"/><Relationship Id="rId29" Type="http://schemas.openxmlformats.org/officeDocument/2006/relationships/image" Target="media/image26.wmf"/><Relationship Id="rId24" Type="http://schemas.openxmlformats.org/officeDocument/2006/relationships/image" Target="media/image21.wmf"/><Relationship Id="rId40" Type="http://schemas.openxmlformats.org/officeDocument/2006/relationships/image" Target="media/image37.wmf"/><Relationship Id="rId45" Type="http://schemas.openxmlformats.org/officeDocument/2006/relationships/image" Target="media/image42.wmf"/><Relationship Id="rId66" Type="http://schemas.openxmlformats.org/officeDocument/2006/relationships/image" Target="media/image63.wmf"/><Relationship Id="rId87" Type="http://schemas.openxmlformats.org/officeDocument/2006/relationships/image" Target="media/image84.wmf"/><Relationship Id="rId110" Type="http://schemas.openxmlformats.org/officeDocument/2006/relationships/image" Target="media/image107.wmf"/><Relationship Id="rId115" Type="http://schemas.openxmlformats.org/officeDocument/2006/relationships/image" Target="media/image112.wmf"/><Relationship Id="rId61" Type="http://schemas.openxmlformats.org/officeDocument/2006/relationships/image" Target="media/image58.wmf"/><Relationship Id="rId82" Type="http://schemas.openxmlformats.org/officeDocument/2006/relationships/image" Target="media/image79.wmf"/><Relationship Id="rId19" Type="http://schemas.openxmlformats.org/officeDocument/2006/relationships/image" Target="media/image16.wmf"/><Relationship Id="rId14" Type="http://schemas.openxmlformats.org/officeDocument/2006/relationships/image" Target="media/image11.wmf"/><Relationship Id="rId30" Type="http://schemas.openxmlformats.org/officeDocument/2006/relationships/image" Target="media/image27.wmf"/><Relationship Id="rId35" Type="http://schemas.openxmlformats.org/officeDocument/2006/relationships/image" Target="media/image32.wmf"/><Relationship Id="rId56" Type="http://schemas.openxmlformats.org/officeDocument/2006/relationships/image" Target="media/image53.wmf"/><Relationship Id="rId77" Type="http://schemas.openxmlformats.org/officeDocument/2006/relationships/image" Target="media/image74.wmf"/><Relationship Id="rId100" Type="http://schemas.openxmlformats.org/officeDocument/2006/relationships/image" Target="media/image97.wmf"/><Relationship Id="rId105" Type="http://schemas.openxmlformats.org/officeDocument/2006/relationships/image" Target="media/image102.wmf"/><Relationship Id="rId8" Type="http://schemas.openxmlformats.org/officeDocument/2006/relationships/image" Target="media/image5.wmf"/><Relationship Id="rId51" Type="http://schemas.openxmlformats.org/officeDocument/2006/relationships/image" Target="media/image48.wmf"/><Relationship Id="rId72" Type="http://schemas.openxmlformats.org/officeDocument/2006/relationships/image" Target="media/image69.wmf"/><Relationship Id="rId93" Type="http://schemas.openxmlformats.org/officeDocument/2006/relationships/image" Target="media/image90.wmf"/><Relationship Id="rId98" Type="http://schemas.openxmlformats.org/officeDocument/2006/relationships/image" Target="media/image95.wmf"/><Relationship Id="rId121" Type="http://schemas.openxmlformats.org/officeDocument/2006/relationships/image" Target="media/image118.wmf"/><Relationship Id="rId3" Type="http://schemas.openxmlformats.org/officeDocument/2006/relationships/webSettings" Target="webSettings.xml"/><Relationship Id="rId25" Type="http://schemas.openxmlformats.org/officeDocument/2006/relationships/image" Target="media/image22.wmf"/><Relationship Id="rId46" Type="http://schemas.openxmlformats.org/officeDocument/2006/relationships/image" Target="media/image43.wmf"/><Relationship Id="rId67" Type="http://schemas.openxmlformats.org/officeDocument/2006/relationships/image" Target="media/image64.wmf"/><Relationship Id="rId116" Type="http://schemas.openxmlformats.org/officeDocument/2006/relationships/image" Target="media/image113.wmf"/><Relationship Id="rId20" Type="http://schemas.openxmlformats.org/officeDocument/2006/relationships/image" Target="media/image17.wmf"/><Relationship Id="rId41" Type="http://schemas.openxmlformats.org/officeDocument/2006/relationships/image" Target="media/image38.wmf"/><Relationship Id="rId62" Type="http://schemas.openxmlformats.org/officeDocument/2006/relationships/image" Target="media/image59.wmf"/><Relationship Id="rId83" Type="http://schemas.openxmlformats.org/officeDocument/2006/relationships/image" Target="media/image80.wmf"/><Relationship Id="rId88" Type="http://schemas.openxmlformats.org/officeDocument/2006/relationships/image" Target="media/image85.wmf"/><Relationship Id="rId111" Type="http://schemas.openxmlformats.org/officeDocument/2006/relationships/image" Target="media/image108.wmf"/><Relationship Id="rId15" Type="http://schemas.openxmlformats.org/officeDocument/2006/relationships/image" Target="media/image12.wmf"/><Relationship Id="rId36" Type="http://schemas.openxmlformats.org/officeDocument/2006/relationships/image" Target="media/image33.wmf"/><Relationship Id="rId57" Type="http://schemas.openxmlformats.org/officeDocument/2006/relationships/image" Target="media/image54.wmf"/><Relationship Id="rId106" Type="http://schemas.openxmlformats.org/officeDocument/2006/relationships/image" Target="media/image103.wmf"/><Relationship Id="rId10" Type="http://schemas.openxmlformats.org/officeDocument/2006/relationships/image" Target="media/image7.wmf"/><Relationship Id="rId31" Type="http://schemas.openxmlformats.org/officeDocument/2006/relationships/image" Target="media/image28.wmf"/><Relationship Id="rId52" Type="http://schemas.openxmlformats.org/officeDocument/2006/relationships/image" Target="media/image49.wmf"/><Relationship Id="rId73" Type="http://schemas.openxmlformats.org/officeDocument/2006/relationships/image" Target="media/image70.wmf"/><Relationship Id="rId78" Type="http://schemas.openxmlformats.org/officeDocument/2006/relationships/image" Target="media/image75.wmf"/><Relationship Id="rId94" Type="http://schemas.openxmlformats.org/officeDocument/2006/relationships/image" Target="media/image91.wmf"/><Relationship Id="rId99" Type="http://schemas.openxmlformats.org/officeDocument/2006/relationships/image" Target="media/image96.wmf"/><Relationship Id="rId101" Type="http://schemas.openxmlformats.org/officeDocument/2006/relationships/image" Target="media/image98.wmf"/><Relationship Id="rId122" Type="http://schemas.openxmlformats.org/officeDocument/2006/relationships/image" Target="media/image119.wmf"/><Relationship Id="rId4" Type="http://schemas.openxmlformats.org/officeDocument/2006/relationships/image" Target="media/image1.wmf"/><Relationship Id="rId9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3555</Words>
  <Characters>20270</Characters>
  <Application>Microsoft Office Word</Application>
  <DocSecurity>0</DocSecurity>
  <Lines>168</Lines>
  <Paragraphs>47</Paragraphs>
  <ScaleCrop>false</ScaleCrop>
  <Company/>
  <LinksUpToDate>false</LinksUpToDate>
  <CharactersWithSpaces>23778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2025-02-19T08:56:00Z</dcterms:created>
  <dcterms:modified xsi:type="dcterms:W3CDTF">2025-02-19T08:56:00Z</dcterms:modified>
</cp:coreProperties>
</file>