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Размерность фрактальных поверхностей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Введение в размерность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Размерность геометрических объектов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Природные фракталы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Размерность Хаусдорфа-Безиковича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Измерение длины негладкой (изломанной) линии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</w:t>
      </w:r>
      <w:r>
        <w:rPr>
          <w:rFonts w:ascii="Times New Roman CYR" w:hAnsi="Times New Roman CYR" w:cs="Times New Roman CYR"/>
          <w:sz w:val="28"/>
          <w:szCs w:val="28"/>
        </w:rPr>
        <w:t>рактальная размерность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Подобие и скейлинг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Самоподобие и самоаффинность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Показатель Хёрста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Соотношение "периметр-площадь"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Размерность фрактальных поверхностей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Введение в размерность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характеристикой инженерной поверхно</w:t>
      </w:r>
      <w:r>
        <w:rPr>
          <w:rFonts w:ascii="Times New Roman CYR" w:hAnsi="Times New Roman CYR" w:cs="Times New Roman CYR"/>
          <w:sz w:val="28"/>
          <w:szCs w:val="28"/>
        </w:rPr>
        <w:t>сти, наряду со стандартными параметрами шероховатости, является фрактальная размерность. Рассмотрим один из способов определения фрактальной размерности поверхности по соотношению "периметр-площадь".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эвклидова размерность точки DE=d=0. Найдем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размерность геометрических фигур, взяв в качестве примера диаметральное сечение шара радиусом r: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длина (диаметр) L=2r (L=Vd=1),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площадь сечения A=</w:t>
      </w:r>
      <w:r>
        <w:rPr>
          <w:rFonts w:ascii="Symbol" w:hAnsi="Symbol" w:cs="Symbol"/>
          <w:sz w:val="28"/>
          <w:szCs w:val="28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r2 (A=Vd=2),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объем шара V=(4/3)</w:t>
      </w:r>
      <w:r>
        <w:rPr>
          <w:rFonts w:ascii="Symbol" w:hAnsi="Symbol" w:cs="Symbol"/>
          <w:sz w:val="28"/>
          <w:szCs w:val="28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r3 (V=Vd=3).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известные измеряемые величины могут быть определен</w:t>
      </w:r>
      <w:r>
        <w:rPr>
          <w:rFonts w:ascii="Times New Roman CYR" w:hAnsi="Times New Roman CYR" w:cs="Times New Roman CYR"/>
          <w:sz w:val="28"/>
          <w:szCs w:val="28"/>
        </w:rPr>
        <w:t>ы по общей формуле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7642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523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Г(х)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гамма функция, равная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895475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n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целое число, то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352">
        <w:rPr>
          <w:rFonts w:ascii="Times New Roman CYR" w:hAnsi="Times New Roman CYR" w:cs="Times New Roman CYR"/>
          <w:sz w:val="28"/>
          <w:szCs w:val="28"/>
        </w:rPr>
        <w:t xml:space="preserve"> при n=0,1,2,…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Размерность геометрич</w:t>
      </w:r>
      <w:r>
        <w:rPr>
          <w:rFonts w:ascii="Times New Roman CYR" w:hAnsi="Times New Roman CYR" w:cs="Times New Roman CYR"/>
          <w:sz w:val="28"/>
          <w:szCs w:val="28"/>
        </w:rPr>
        <w:t>еских объектов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Размерность фрактального объекта определяется исходя из понятия фрактала. Фрактал - это множество, размерность Хаусдорфа-Безиковича которого строго больше топологической размерности. Фрактал обладает дробной размерностью.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двухмерном случа</w:t>
      </w:r>
      <w:r>
        <w:rPr>
          <w:rFonts w:ascii="Times New Roman CYR" w:hAnsi="Times New Roman CYR" w:cs="Times New Roman CYR"/>
          <w:sz w:val="28"/>
          <w:szCs w:val="28"/>
        </w:rPr>
        <w:t>е фрактальную кривую получают с помощью некоторой ломаной линии (или поверхности в трехмерном случае), называемой генератором. За один шаг алгоритма каждый из отрезков, составляющих ломаную линию, заменяется на ломаную - генератор, в соответствующем масшта</w:t>
      </w:r>
      <w:r>
        <w:rPr>
          <w:rFonts w:ascii="Times New Roman CYR" w:hAnsi="Times New Roman CYR" w:cs="Times New Roman CYR"/>
          <w:sz w:val="28"/>
          <w:szCs w:val="28"/>
        </w:rPr>
        <w:t>бе. В результате бесконечного повторения этой процедуры получается геометрический фрактал.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один из таких фрактальных объектов - триадную кривую Коха. Построение кривой начинается с отрезка единичной длины (рис. 1)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0-е поколение кривой.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19575" cy="666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Процедура построения кривой Коха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каждое звено (в нулевом поколении один отрезок) заменяется на образующий элемент, обозначенный через n=1. В результате такой замены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получается следующее поколение кривой Ко</w:t>
      </w:r>
      <w:r>
        <w:rPr>
          <w:rFonts w:ascii="Times New Roman CYR" w:hAnsi="Times New Roman CYR" w:cs="Times New Roman CYR"/>
          <w:sz w:val="28"/>
          <w:szCs w:val="28"/>
        </w:rPr>
        <w:t>ха. В 1-м поколении - это кривая из четырех прямолинейных звеньев, каждое длиной по 1/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получения 3-го поколения проделываются те же действия: каждое звено заменяется на уменьшенный образующий элемент. Итак, для получения каждого последующего поколения </w:t>
      </w:r>
      <w:r>
        <w:rPr>
          <w:rFonts w:ascii="Times New Roman CYR" w:hAnsi="Times New Roman CYR" w:cs="Times New Roman CYR"/>
          <w:sz w:val="28"/>
          <w:szCs w:val="28"/>
        </w:rPr>
        <w:t>все звенья предыдущего поколения необходимо заменить уменьшенным образующим элементом.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Кривая Коха представляет собой структуру, состоящую из частей, которые в некотором смысле подобны целому. Такие геометрические объекты относят к самоподобным объектам. Э</w:t>
      </w:r>
      <w:r>
        <w:rPr>
          <w:rFonts w:ascii="Times New Roman CYR" w:hAnsi="Times New Roman CYR" w:cs="Times New Roman CYR"/>
          <w:sz w:val="28"/>
          <w:szCs w:val="28"/>
        </w:rPr>
        <w:t>то означает, что в широком диапазоне масштабов топографические особенности и повторения объекта одни и те же.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для кривой Коха, выбрав фрагмент, равный 1/3 отрезка линии, длиной, равной единице, и увеличив его в три раза, получим исходный отрезок, равн</w:t>
      </w:r>
      <w:r>
        <w:rPr>
          <w:rFonts w:ascii="Times New Roman CYR" w:hAnsi="Times New Roman CYR" w:cs="Times New Roman CYR"/>
          <w:sz w:val="28"/>
          <w:szCs w:val="28"/>
        </w:rPr>
        <w:t>ый единице. Такие объекты обладают скейлингом, или масштабом измерения.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1 представлены три поколения кривой. Если взять за основу не прямую, а треугольник и применить тот же алгоритм для каждой из сторон, то мы получим фрактал, называемый снежинкой</w:t>
      </w:r>
      <w:r>
        <w:rPr>
          <w:rFonts w:ascii="Times New Roman CYR" w:hAnsi="Times New Roman CYR" w:cs="Times New Roman CYR"/>
          <w:sz w:val="28"/>
          <w:szCs w:val="28"/>
        </w:rPr>
        <w:t xml:space="preserve"> (островом) Коха (рис. 2).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1647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Остров ("снежинка") Коха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построении следующих поколений выполняется правило: самое первое слева звено заменяется на образующий элемент так, чтобы середина звена смещалась влево от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направления движения, а при замене следующих звеньев направления смещения середин отрезков должны чередоваться. На рис. 2 представлены первые поколения кривой, построенной по описанному принципу.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Предельная фрактальная кривая (при n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>) называется "дракон</w:t>
      </w:r>
      <w:r>
        <w:rPr>
          <w:rFonts w:ascii="Times New Roman CYR" w:hAnsi="Times New Roman CYR" w:cs="Times New Roman CYR"/>
          <w:sz w:val="28"/>
          <w:szCs w:val="28"/>
        </w:rPr>
        <w:t>ом" Хартера-Хейтуэя (рис. 3). На рис. 4 представлен "ковер" польского математика Серпинского.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52700" cy="2647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Процедура построения "дракона" " Хартера-Хейтуэя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90700" cy="981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 Построение "ковра" Сер</w:t>
      </w:r>
      <w:r>
        <w:rPr>
          <w:rFonts w:ascii="Times New Roman CYR" w:hAnsi="Times New Roman CYR" w:cs="Times New Roman CYR"/>
          <w:sz w:val="28"/>
          <w:szCs w:val="28"/>
        </w:rPr>
        <w:t>пинского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Природные фракталы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Облака, горы, кусты, деревья и другие растения тоже имеют фрактальную структуру. Рассмотрим процесс роста куста (рис. 5). Сначала появилась веточка, потом она выпустила два побега, на следующем этапе каждый побег вновь раздв</w:t>
      </w:r>
      <w:r>
        <w:rPr>
          <w:rFonts w:ascii="Times New Roman CYR" w:hAnsi="Times New Roman CYR" w:cs="Times New Roman CYR"/>
          <w:sz w:val="28"/>
          <w:szCs w:val="28"/>
        </w:rPr>
        <w:t>оился, то же самое происходит на следующем этапе, и в результате из начальной "вилки" двух побегов вырастает причудливое самоподобное растение.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9850" cy="26384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Модель куста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Оно получено многократным повторением исходного эталона (n=1). На рис. 5 и 6 показаны примеры построения фрактальных объектов, сходных с природными образованиями (рис. 7).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52825" cy="2676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6. Построение фрактального объекта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33700" cy="3686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7. Природные фрактальные объекты: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- горец почечуйный; б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дуб; в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сушеница топяная; г - хвощ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Размерность Хаусдорфа-Безиковича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размерности Ха</w:t>
      </w:r>
      <w:r>
        <w:rPr>
          <w:rFonts w:ascii="Times New Roman CYR" w:hAnsi="Times New Roman CYR" w:cs="Times New Roman CYR"/>
          <w:sz w:val="28"/>
          <w:szCs w:val="28"/>
        </w:rPr>
        <w:t xml:space="preserve">усдорфа-Безиковича рассмотрим измерение множества точек </w:t>
      </w:r>
      <w:r>
        <w:rPr>
          <w:rFonts w:ascii="Cambria Math" w:hAnsi="Cambria Math" w:cs="Cambria Math"/>
          <w:sz w:val="28"/>
          <w:szCs w:val="28"/>
        </w:rPr>
        <w:t>ℒ</w:t>
      </w:r>
      <w:r>
        <w:rPr>
          <w:rFonts w:ascii="Times New Roman CYR" w:hAnsi="Times New Roman CYR" w:cs="Times New Roman CYR"/>
          <w:sz w:val="28"/>
          <w:szCs w:val="28"/>
        </w:rPr>
        <w:t xml:space="preserve"> метрического пространства (рис. 8).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95450" cy="1600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8. Точки в метрическом Пространстве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Разобьем пространство на квадратные ячейки с размером стороны ячейки </w:t>
      </w:r>
      <w:r>
        <w:rPr>
          <w:rFonts w:ascii="Times New Roman" w:hAnsi="Times New Roman" w:cs="Times New Roman"/>
          <w:sz w:val="28"/>
          <w:szCs w:val="28"/>
        </w:rPr>
        <w:t xml:space="preserve">δ </w:t>
      </w:r>
      <w:r>
        <w:rPr>
          <w:rFonts w:ascii="Times New Roman CYR" w:hAnsi="Times New Roman CYR" w:cs="Times New Roman CYR"/>
          <w:sz w:val="28"/>
          <w:szCs w:val="28"/>
        </w:rPr>
        <w:t>и подсчитае</w:t>
      </w:r>
      <w:r>
        <w:rPr>
          <w:rFonts w:ascii="Times New Roman CYR" w:hAnsi="Times New Roman CYR" w:cs="Times New Roman CYR"/>
          <w:sz w:val="28"/>
          <w:szCs w:val="28"/>
        </w:rPr>
        <w:t xml:space="preserve">м число ячеек, покрывающих это множество. Уменьшение размера ячейки приводит к росту числа ячеек, покрывающих множество. Каждая ячейка имеет площадь </w:t>
      </w:r>
      <w:r>
        <w:rPr>
          <w:rFonts w:ascii="Times New Roman" w:hAnsi="Times New Roman" w:cs="Times New Roman"/>
          <w:sz w:val="28"/>
          <w:szCs w:val="28"/>
        </w:rPr>
        <w:t xml:space="preserve">δ2, </w:t>
      </w:r>
      <w:r>
        <w:rPr>
          <w:rFonts w:ascii="Times New Roman CYR" w:hAnsi="Times New Roman CYR" w:cs="Times New Roman CYR"/>
          <w:sz w:val="28"/>
          <w:szCs w:val="28"/>
        </w:rPr>
        <w:t>тогда площадь множества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0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7155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N(</w:t>
      </w:r>
      <w:r>
        <w:rPr>
          <w:rFonts w:ascii="Times New Roman" w:hAnsi="Times New Roman" w:cs="Times New Roman"/>
          <w:sz w:val="28"/>
          <w:szCs w:val="28"/>
        </w:rPr>
        <w:t xml:space="preserve">δ) - </w:t>
      </w:r>
      <w:r>
        <w:rPr>
          <w:rFonts w:ascii="Times New Roman CYR" w:hAnsi="Times New Roman CYR" w:cs="Times New Roman CYR"/>
          <w:sz w:val="28"/>
          <w:szCs w:val="28"/>
        </w:rPr>
        <w:t>число ячеек, покрывающих множество.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некоторые величины, характеризующие множество. Так, "длина" поверхности определяется выражением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1050" cy="1809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"длина" поверхности, определяемая предельным переходом, равна: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3524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"Объем" поверхности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47975" cy="4095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"длина" множества стремится к бесконечности, а "объем"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к н</w:t>
      </w:r>
      <w:r>
        <w:rPr>
          <w:rFonts w:ascii="Times New Roman CYR" w:hAnsi="Times New Roman CYR" w:cs="Times New Roman CYR"/>
          <w:sz w:val="28"/>
          <w:szCs w:val="28"/>
        </w:rPr>
        <w:t>улю.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характеристик" величины" (длины, объема) множества точек </w:t>
      </w:r>
      <w:r>
        <w:rPr>
          <w:rFonts w:ascii="Cambria Math" w:hAnsi="Cambria Math" w:cs="Cambria Math"/>
          <w:sz w:val="28"/>
          <w:szCs w:val="28"/>
        </w:rPr>
        <w:t>ℒ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используется некоторая пробная функция 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которая определяет размеры ячейки: длину при d=1, площадь при d=2, объем при d= "Величина", или мера множества </w:t>
      </w:r>
      <w:r>
        <w:rPr>
          <w:rFonts w:ascii="Cambria Math" w:hAnsi="Cambria Math" w:cs="Cambria Math"/>
          <w:sz w:val="28"/>
          <w:szCs w:val="28"/>
        </w:rPr>
        <w:t>ℒ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как сумма "величин" всех ячеек, покрывающих метрическое пространство </w:t>
      </w:r>
      <w:r>
        <w:rPr>
          <w:rFonts w:ascii="Cambria Math" w:hAnsi="Cambria Math" w:cs="Cambria Math"/>
          <w:sz w:val="28"/>
          <w:szCs w:val="28"/>
        </w:rPr>
        <w:t>ℒ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952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Константа 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190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зависит от формы ячеек (для квадратной ячейки 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некотором показателе степени d мера Md при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0 равна либо нулю, либо бесконечности, либо некоторому (не обязательно целому) конечном</w:t>
      </w:r>
      <w:r>
        <w:rPr>
          <w:rFonts w:ascii="Times New Roman CYR" w:hAnsi="Times New Roman CYR" w:cs="Times New Roman CYR"/>
          <w:sz w:val="28"/>
          <w:szCs w:val="28"/>
        </w:rPr>
        <w:t xml:space="preserve">у положительному числу. Значение d, при котором мера Md не равна нулю или бесконечности, адекватно отражает топологическую размерность множества </w:t>
      </w:r>
      <w:r>
        <w:rPr>
          <w:rFonts w:ascii="Cambria Math" w:hAnsi="Cambria Math" w:cs="Cambria Math"/>
          <w:sz w:val="28"/>
          <w:szCs w:val="28"/>
        </w:rPr>
        <w:t>ℒ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dcr такое, что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62150" cy="5524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называется размерностью Хаусдорфа-Безиковича.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</w:t>
      </w:r>
      <w:r>
        <w:rPr>
          <w:rFonts w:ascii="Times New Roman CYR" w:hAnsi="Times New Roman CYR" w:cs="Times New Roman CYR"/>
          <w:sz w:val="28"/>
          <w:szCs w:val="28"/>
        </w:rPr>
        <w:t>я "простых" (не фрактальных) геометрических объектов размерность Хаусдорфа-Безиковича совпадает с топологической размерностью. Для фрактальных объектов скачок меры Md от нуля к бесконечности происходит при дробных значениях d.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функция N(</w:t>
      </w:r>
      <w:r>
        <w:rPr>
          <w:rFonts w:ascii="Times New Roman" w:hAnsi="Times New Roman" w:cs="Times New Roman"/>
          <w:sz w:val="28"/>
          <w:szCs w:val="28"/>
        </w:rPr>
        <w:t xml:space="preserve">δ) </w:t>
      </w:r>
      <w:r>
        <w:rPr>
          <w:rFonts w:ascii="Times New Roman CYR" w:hAnsi="Times New Roman CYR" w:cs="Times New Roman CYR"/>
          <w:sz w:val="28"/>
          <w:szCs w:val="28"/>
        </w:rPr>
        <w:t>зависит от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δ </w:t>
      </w:r>
      <w:r>
        <w:rPr>
          <w:rFonts w:ascii="Times New Roman CYR" w:hAnsi="Times New Roman CYR" w:cs="Times New Roman CYR"/>
          <w:sz w:val="28"/>
          <w:szCs w:val="28"/>
        </w:rPr>
        <w:t>со степенной особенностью в нуле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4381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α(δ)δd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0 при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0.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точностью до бесконечно малых величин запишем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Откуда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71850" cy="7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имеем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514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Измерение длины негладкой (изломанной) линии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измерить длину береговой линии?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следующие сравнительно простые приемы измерения.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Пометим точками A и B начало и конец измеряемого участка (рис. 9).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76700" cy="18764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9. Измерение длины линии раствором циркуля или с помощью сетки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процедур измерения длины заключается в следующем.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Будем измерять длину линии от точки А до точки B отрезками длиной </w:t>
      </w:r>
      <w:r>
        <w:rPr>
          <w:rFonts w:ascii="Times New Roman" w:hAnsi="Times New Roman" w:cs="Times New Roman"/>
          <w:sz w:val="28"/>
          <w:szCs w:val="28"/>
        </w:rPr>
        <w:t>δ.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Подсчитав число отрезков</w:t>
      </w:r>
      <w:r>
        <w:rPr>
          <w:rFonts w:ascii="Times New Roman CYR" w:hAnsi="Times New Roman CYR" w:cs="Times New Roman CYR"/>
          <w:sz w:val="28"/>
          <w:szCs w:val="28"/>
        </w:rPr>
        <w:t xml:space="preserve">, найдем длину 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190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уменьшением раствора циркуля </w:t>
      </w:r>
      <w:r>
        <w:rPr>
          <w:rFonts w:ascii="Times New Roman" w:hAnsi="Times New Roman" w:cs="Times New Roman"/>
          <w:sz w:val="28"/>
          <w:szCs w:val="28"/>
        </w:rPr>
        <w:t xml:space="preserve">δ </w:t>
      </w:r>
      <w:r>
        <w:rPr>
          <w:rFonts w:ascii="Times New Roman CYR" w:hAnsi="Times New Roman CYR" w:cs="Times New Roman CYR"/>
          <w:sz w:val="28"/>
          <w:szCs w:val="28"/>
        </w:rPr>
        <w:t>число отрезков N(</w:t>
      </w:r>
      <w:r>
        <w:rPr>
          <w:rFonts w:ascii="Times New Roman" w:hAnsi="Times New Roman" w:cs="Times New Roman"/>
          <w:sz w:val="28"/>
          <w:szCs w:val="28"/>
        </w:rPr>
        <w:t xml:space="preserve">δ) </w:t>
      </w:r>
      <w:r>
        <w:rPr>
          <w:rFonts w:ascii="Times New Roman CYR" w:hAnsi="Times New Roman CYR" w:cs="Times New Roman CYR"/>
          <w:sz w:val="28"/>
          <w:szCs w:val="28"/>
        </w:rPr>
        <w:t>растет. Типичная зависимость L(</w:t>
      </w:r>
      <w:r>
        <w:rPr>
          <w:rFonts w:ascii="Times New Roman" w:hAnsi="Times New Roman" w:cs="Times New Roman"/>
          <w:sz w:val="28"/>
          <w:szCs w:val="28"/>
        </w:rPr>
        <w:t xml:space="preserve">δ)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δ </w:t>
      </w:r>
      <w:r>
        <w:rPr>
          <w:rFonts w:ascii="Times New Roman CYR" w:hAnsi="Times New Roman CYR" w:cs="Times New Roman CYR"/>
          <w:sz w:val="28"/>
          <w:szCs w:val="28"/>
        </w:rPr>
        <w:t>в логарифмических координатах представлена на рис. 10.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19325" cy="18669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10. Зависимость измеренной длины изломанной (береговой) линии от масштаба (длины отрезка </w:t>
      </w:r>
      <w:r>
        <w:rPr>
          <w:rFonts w:ascii="Times New Roman" w:hAnsi="Times New Roman" w:cs="Times New Roman"/>
          <w:i/>
          <w:iCs/>
          <w:sz w:val="28"/>
          <w:szCs w:val="28"/>
        </w:rPr>
        <w:t>δ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останавливаясь на недостатках этого метода, особенно при определении фрактальной размерности профиля шероховатой поверх</w:t>
      </w:r>
      <w:r>
        <w:rPr>
          <w:rFonts w:ascii="Times New Roman CYR" w:hAnsi="Times New Roman CYR" w:cs="Times New Roman CYR"/>
          <w:sz w:val="28"/>
          <w:szCs w:val="28"/>
        </w:rPr>
        <w:t>ности, рассмотрим другой (альтернативный) метод.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Покроем рассматриваемый участок квадратной сеткой (правая часть рис. 9) и подсчитаем число ячеек, покрывающих рассматриваемую линию.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размера ячеек приводит к увеличению числа ячеек, покрывающих ли</w:t>
      </w:r>
      <w:r>
        <w:rPr>
          <w:rFonts w:ascii="Times New Roman CYR" w:hAnsi="Times New Roman CYR" w:cs="Times New Roman CYR"/>
          <w:sz w:val="28"/>
          <w:szCs w:val="28"/>
        </w:rPr>
        <w:t xml:space="preserve">нию AB. Следует ожидать, что число шагов измерительного циркуля или число покрывающих линию ячеек будет обратно пропорционально </w:t>
      </w:r>
      <w:r>
        <w:rPr>
          <w:rFonts w:ascii="Times New Roman" w:hAnsi="Times New Roman" w:cs="Times New Roman"/>
          <w:sz w:val="28"/>
          <w:szCs w:val="28"/>
        </w:rPr>
        <w:t xml:space="preserve">δ </w:t>
      </w:r>
      <w:r>
        <w:rPr>
          <w:rFonts w:ascii="Times New Roman CYR" w:hAnsi="Times New Roman CYR" w:cs="Times New Roman CYR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δ*</w:t>
      </w:r>
      <w:r>
        <w:rPr>
          <w:rFonts w:ascii="Times New Roman CYR" w:hAnsi="Times New Roman CYR" w:cs="Times New Roman CYR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δ*, </w:t>
      </w:r>
      <w:r>
        <w:rPr>
          <w:rFonts w:ascii="Times New Roman CYR" w:hAnsi="Times New Roman CYR" w:cs="Times New Roman CYR"/>
          <w:sz w:val="28"/>
          <w:szCs w:val="28"/>
        </w:rPr>
        <w:t xml:space="preserve">а величина 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3429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стремиться к постоянному для данной линии значению L(</w:t>
      </w:r>
      <w:r>
        <w:rPr>
          <w:rFonts w:ascii="Times New Roman" w:hAnsi="Times New Roman" w:cs="Times New Roman"/>
          <w:sz w:val="28"/>
          <w:szCs w:val="28"/>
        </w:rPr>
        <w:t xml:space="preserve">δ). </w:t>
      </w:r>
      <w:r>
        <w:rPr>
          <w:rFonts w:ascii="Times New Roman CYR" w:hAnsi="Times New Roman CYR" w:cs="Times New Roman CYR"/>
          <w:sz w:val="28"/>
          <w:szCs w:val="28"/>
        </w:rPr>
        <w:t>Одн</w:t>
      </w:r>
      <w:r>
        <w:rPr>
          <w:rFonts w:ascii="Times New Roman CYR" w:hAnsi="Times New Roman CYR" w:cs="Times New Roman CYR"/>
          <w:sz w:val="28"/>
          <w:szCs w:val="28"/>
        </w:rPr>
        <w:t xml:space="preserve">ако при уменьшении </w:t>
      </w:r>
      <w:r>
        <w:rPr>
          <w:rFonts w:ascii="Times New Roman" w:hAnsi="Times New Roman" w:cs="Times New Roman"/>
          <w:sz w:val="28"/>
          <w:szCs w:val="28"/>
        </w:rPr>
        <w:t xml:space="preserve">δ </w:t>
      </w:r>
      <w:r>
        <w:rPr>
          <w:rFonts w:ascii="Times New Roman CYR" w:hAnsi="Times New Roman CYR" w:cs="Times New Roman CYR"/>
          <w:sz w:val="28"/>
          <w:szCs w:val="28"/>
        </w:rPr>
        <w:t xml:space="preserve">или размера ячеек сетки длина линии не стремится к постоянному значению. При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0 измеряемая длина непрерывно растет, т.е. при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0 величина L(</w:t>
      </w:r>
      <w:r>
        <w:rPr>
          <w:rFonts w:ascii="Times New Roman" w:hAnsi="Times New Roman" w:cs="Times New Roman"/>
          <w:sz w:val="28"/>
          <w:szCs w:val="28"/>
        </w:rPr>
        <w:t xml:space="preserve">δ) </w:t>
      </w:r>
      <w:r>
        <w:rPr>
          <w:rFonts w:ascii="Times New Roman CYR" w:hAnsi="Times New Roman CYR" w:cs="Times New Roman CYR"/>
          <w:sz w:val="28"/>
          <w:szCs w:val="28"/>
        </w:rPr>
        <w:t>не является пределом.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Измеренная длина линии может быть описана следующей приближенной форм</w:t>
      </w:r>
      <w:r>
        <w:rPr>
          <w:rFonts w:ascii="Times New Roman CYR" w:hAnsi="Times New Roman CYR" w:cs="Times New Roman CYR"/>
          <w:sz w:val="28"/>
          <w:szCs w:val="28"/>
        </w:rPr>
        <w:t>улой: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D - фрактальная размерность линии.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Легко показать, что для прямой линии и, например, для окружности D=1. Длина окружности при уменьшении </w:t>
      </w:r>
      <w:r>
        <w:rPr>
          <w:rFonts w:ascii="Times New Roman" w:hAnsi="Times New Roman" w:cs="Times New Roman"/>
          <w:sz w:val="28"/>
          <w:szCs w:val="28"/>
        </w:rPr>
        <w:t xml:space="preserve">δ </w:t>
      </w:r>
      <w:r>
        <w:rPr>
          <w:rFonts w:ascii="Times New Roman CYR" w:hAnsi="Times New Roman CYR" w:cs="Times New Roman CYR"/>
          <w:sz w:val="28"/>
          <w:szCs w:val="28"/>
        </w:rPr>
        <w:t>стремится к постоянному значению, равному 2</w:t>
      </w:r>
      <w:r>
        <w:rPr>
          <w:rFonts w:ascii="Times New Roman" w:hAnsi="Times New Roman" w:cs="Times New Roman"/>
          <w:sz w:val="28"/>
          <w:szCs w:val="28"/>
        </w:rPr>
        <w:t xml:space="preserve">πR, </w:t>
      </w:r>
      <w:r>
        <w:rPr>
          <w:rFonts w:ascii="Times New Roman CYR" w:hAnsi="Times New Roman CYR" w:cs="Times New Roman CYR"/>
          <w:sz w:val="28"/>
          <w:szCs w:val="28"/>
        </w:rPr>
        <w:t>где R-радиус окружнос</w:t>
      </w:r>
      <w:r>
        <w:rPr>
          <w:rFonts w:ascii="Times New Roman CYR" w:hAnsi="Times New Roman CYR" w:cs="Times New Roman CYR"/>
          <w:sz w:val="28"/>
          <w:szCs w:val="28"/>
        </w:rPr>
        <w:t>ти.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фрактальный размерность поверхность скейлинг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Фрактальная размерность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Мандельброт (B.B. Mandelbrot) предложил следующее определение фрактала. Фракталом называется множество, размерность Хаусдорфа-Безиковича (Х-Б) которого строго больше его тополо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гической размерности (Е. Федер, 1991). Нестрогое определение, не требующее разъяснения понятий множество, размерность Х-Б, топологическая размерность, формулируется так: фрактал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структура, состоящая из частей, подобных целому. Или еще проще: фрактал </w:t>
      </w:r>
      <w:r>
        <w:rPr>
          <w:rFonts w:ascii="Times New Roman CYR" w:hAnsi="Times New Roman CYR" w:cs="Times New Roman CYR"/>
          <w:sz w:val="28"/>
          <w:szCs w:val="28"/>
        </w:rPr>
        <w:t>- это структура с дробной размерностью.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Зависимость </w:t>
      </w:r>
      <w:r>
        <w:rPr>
          <w:rFonts w:ascii="Times New Roman" w:hAnsi="Times New Roman" w:cs="Times New Roman"/>
          <w:sz w:val="28"/>
          <w:szCs w:val="28"/>
        </w:rPr>
        <w:t xml:space="preserve">N(δ) </w:t>
      </w:r>
      <w:r>
        <w:rPr>
          <w:rFonts w:ascii="Times New Roman CYR" w:hAnsi="Times New Roman CYR" w:cs="Times New Roman CYR"/>
          <w:sz w:val="28"/>
          <w:szCs w:val="28"/>
        </w:rPr>
        <w:t xml:space="preserve">числа отрезков </w:t>
      </w:r>
      <w:r>
        <w:rPr>
          <w:rFonts w:ascii="Times New Roman" w:hAnsi="Times New Roman" w:cs="Times New Roman"/>
          <w:sz w:val="28"/>
          <w:szCs w:val="28"/>
        </w:rPr>
        <w:t>δ (</w:t>
      </w:r>
      <w:r>
        <w:rPr>
          <w:rFonts w:ascii="Times New Roman CYR" w:hAnsi="Times New Roman CYR" w:cs="Times New Roman CYR"/>
          <w:sz w:val="28"/>
          <w:szCs w:val="28"/>
        </w:rPr>
        <w:t xml:space="preserve">или числа ячеек, покрывающих линию) от размера отрезка (или размера ячеек) описывается следующим с точностью до множителя 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143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соотношением: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4857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D - фрактальная размерность.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построить зависимость lgN(</w:t>
      </w:r>
      <w:r>
        <w:rPr>
          <w:rFonts w:ascii="Times New Roman" w:hAnsi="Times New Roman" w:cs="Times New Roman"/>
          <w:sz w:val="28"/>
          <w:szCs w:val="28"/>
        </w:rPr>
        <w:t xml:space="preserve">δ)-lg(δ), </w:t>
      </w:r>
      <w:r>
        <w:rPr>
          <w:rFonts w:ascii="Times New Roman CYR" w:hAnsi="Times New Roman CYR" w:cs="Times New Roman CYR"/>
          <w:sz w:val="28"/>
          <w:szCs w:val="28"/>
        </w:rPr>
        <w:t>то фрактальная размерность равна угловому коэффициенту (наклону) графика, т.е.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0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Размерность, определяемая путем подсчета числа клеток (ячеек), покрывающих линию в зависимости от размера клетки, называют клеточной размерностью.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Фрактальная размерность поверхности. Покроем исследуемый участок повер</w:t>
      </w:r>
      <w:r>
        <w:rPr>
          <w:rFonts w:ascii="Times New Roman CYR" w:hAnsi="Times New Roman CYR" w:cs="Times New Roman CYR"/>
          <w:sz w:val="28"/>
          <w:szCs w:val="28"/>
        </w:rPr>
        <w:t>хности системой одинаковых треугольников и подсчитаем суммарную площадь покрытия, равную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352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A</w:t>
      </w:r>
      <w:r>
        <w:rPr>
          <w:rFonts w:ascii="Times New Roman" w:hAnsi="Times New Roman" w:cs="Times New Roman"/>
          <w:sz w:val="28"/>
          <w:szCs w:val="28"/>
        </w:rPr>
        <w:t>Δ-</w:t>
      </w:r>
      <w:r>
        <w:rPr>
          <w:rFonts w:ascii="Times New Roman CYR" w:hAnsi="Times New Roman CYR" w:cs="Times New Roman CYR"/>
          <w:sz w:val="28"/>
          <w:szCs w:val="28"/>
        </w:rPr>
        <w:t>площадь треугольника. Разделим полученную площадь на величину номинальной площади-проекции реальной поверхности на плоско</w:t>
      </w:r>
      <w:r>
        <w:rPr>
          <w:rFonts w:ascii="Times New Roman CYR" w:hAnsi="Times New Roman CYR" w:cs="Times New Roman CYR"/>
          <w:sz w:val="28"/>
          <w:szCs w:val="28"/>
        </w:rPr>
        <w:t>сть, определяемую геометрическим очертанием исследуемого участка.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Тогда, построив в двойных логарифмических координатах зависимость относительной площади покрытия от площади покрывающего элемента, можно найти в определенном диапазоне изменения площади элем</w:t>
      </w:r>
      <w:r>
        <w:rPr>
          <w:rFonts w:ascii="Times New Roman CYR" w:hAnsi="Times New Roman CYR" w:cs="Times New Roman CYR"/>
          <w:sz w:val="28"/>
          <w:szCs w:val="28"/>
        </w:rPr>
        <w:t>ента наклон или угловой коэффициент прямой, величина которого берется со знаком минус.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расчета находят фрактальную размерность поверхности, равную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2762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Фрактальная размерность поверхности изменяется в предела</w:t>
      </w:r>
      <w:r>
        <w:rPr>
          <w:rFonts w:ascii="Times New Roman CYR" w:hAnsi="Times New Roman CYR" w:cs="Times New Roman CYR"/>
          <w:sz w:val="28"/>
          <w:szCs w:val="28"/>
        </w:rPr>
        <w:t>х 2&lt;DS&lt;3, а ее связь с фрактальной размерностью профиля определяется соотношением DS=D+1.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Подобие и скейлинг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Дадим определение геометрического подобия.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 геометрические фигуры называются подобными, если: 1) угол между каждыми двумя линиями в одной из</w:t>
      </w:r>
      <w:r>
        <w:rPr>
          <w:rFonts w:ascii="Times New Roman CYR" w:hAnsi="Times New Roman CYR" w:cs="Times New Roman CYR"/>
          <w:sz w:val="28"/>
          <w:szCs w:val="28"/>
        </w:rPr>
        <w:t xml:space="preserve"> них равен углу между соответствующими линиями в другой и 2) каждый прямолинейный отрезок в одной из них находится в постоянном отношении с соответствующим ему отрезком в другой.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два многоугольника подобны, если их соответствующие углы равны, а длины </w:t>
      </w:r>
      <w:r>
        <w:rPr>
          <w:rFonts w:ascii="Times New Roman CYR" w:hAnsi="Times New Roman CYR" w:cs="Times New Roman CYR"/>
          <w:sz w:val="28"/>
          <w:szCs w:val="28"/>
        </w:rPr>
        <w:t>сторон, заключающих эти углы, пропорциональны.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геометрического подобия, различают кинематическое и динамическое подобия для механических явлений, лежащие в основе процедур моделирования.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линия при параллельном переносе остается самой собой.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 CYR" w:hAnsi="Times New Roman CYR" w:cs="Times New Roman CYR"/>
          <w:sz w:val="28"/>
          <w:szCs w:val="28"/>
        </w:rPr>
        <w:t>жно утверждать, что прямая инвариантна относительно параллельного переноса и изменения масштаба (скейлинга), т.е. она самоподобна.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скейлинг - это отражение масштабной инвариантности.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отрезка прямой единичной длины можно выбрать коэффицие</w:t>
      </w:r>
      <w:r>
        <w:rPr>
          <w:rFonts w:ascii="Times New Roman CYR" w:hAnsi="Times New Roman CYR" w:cs="Times New Roman CYR"/>
          <w:sz w:val="28"/>
          <w:szCs w:val="28"/>
        </w:rPr>
        <w:t>нт подобия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(N)=1/N,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N - любое целое число (N &gt;1).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Прямоугольный участок плоскости можно покрыть уменьшенными копиями, если их длины изменить в r(N)=(1/N)1/2 раз.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 прямоугольный параллелепипед можно покрыть его уменьшенными копиями, выбрав ма</w:t>
      </w:r>
      <w:r>
        <w:rPr>
          <w:rFonts w:ascii="Times New Roman CYR" w:hAnsi="Times New Roman CYR" w:cs="Times New Roman CYR"/>
          <w:sz w:val="28"/>
          <w:szCs w:val="28"/>
        </w:rPr>
        <w:t>сштабный множитель r(N)=(1/N)1/ В общем случае масштабный множитель следует выбрать равным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(N)=(1/N)1/d,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d - размерность подобия, равная 1 - для прямой, 2 - для плоскости и 3 - для объемных фигур.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фрактальных геометрических структур размерность по</w:t>
      </w:r>
      <w:r>
        <w:rPr>
          <w:rFonts w:ascii="Times New Roman CYR" w:hAnsi="Times New Roman CYR" w:cs="Times New Roman CYR"/>
          <w:sz w:val="28"/>
          <w:szCs w:val="28"/>
        </w:rPr>
        <w:t>добия Dp определяется выражением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4857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Самоподобие и самоаффинность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примера возьмем движение броуновской частицы. Ее координаты на плоскости (х,y) и время (t) являются физическими величинами, имеющими разную р</w:t>
      </w:r>
      <w:r>
        <w:rPr>
          <w:rFonts w:ascii="Times New Roman CYR" w:hAnsi="Times New Roman CYR" w:cs="Times New Roman CYR"/>
          <w:sz w:val="28"/>
          <w:szCs w:val="28"/>
        </w:rPr>
        <w:t>азмерность. Вот почему координаты и время будут иметь разные коэффициенты подобия. Аффинное преобразование переводит точку x=(x1,x2,…,xE) в новую точку x'=(r1 x1, r2 x2,…,rE xE), где не все коэффициенты подобия r1, …,rE одинаковы.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самоаффинного профиля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записать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2"/>
          <w:sz w:val="28"/>
          <w:szCs w:val="28"/>
        </w:rPr>
      </w:pPr>
    </w:p>
    <w:p w:rsidR="00000000" w:rsidRDefault="00217705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b-масштаб увеличения; Н-показатель степени (показатель Хёрста).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Хёрста изменяется в диапазоне 0&lt;H&lt;1. Для самоаффинных кривых связь между фрактальной размерностью и показателем Хёрста и</w:t>
      </w:r>
      <w:r>
        <w:rPr>
          <w:rFonts w:ascii="Times New Roman CYR" w:hAnsi="Times New Roman CYR" w:cs="Times New Roman CYR"/>
          <w:sz w:val="28"/>
          <w:szCs w:val="28"/>
        </w:rPr>
        <w:t>меет вид D=2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H. Приведенное соотношение справедливо для профилограмм, запись которых ведется с разными масштабами увеличения в горизонтальном и вертикальном направлениях. Для случайного гауссовского процесса Н=0,5.</w:t>
      </w: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7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Показатель Хёрста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Хёрста п</w:t>
      </w:r>
      <w:r>
        <w:rPr>
          <w:rFonts w:ascii="Times New Roman CYR" w:hAnsi="Times New Roman CYR" w:cs="Times New Roman CYR"/>
          <w:sz w:val="28"/>
          <w:szCs w:val="28"/>
        </w:rPr>
        <w:t>озволяет определить фрактальную размерность последовательности измерений, в частности, он использовался в качестве инструмента для статистической оценки высот волн [Е. Федер]. Считается установленной связь между показателем Хёрста и фрактальными размерност</w:t>
      </w:r>
      <w:r>
        <w:rPr>
          <w:rFonts w:ascii="Times New Roman CYR" w:hAnsi="Times New Roman CYR" w:cs="Times New Roman CYR"/>
          <w:sz w:val="28"/>
          <w:szCs w:val="28"/>
        </w:rPr>
        <w:t>ями высот волн и поверхности, которая выражается следующими простыми соотношениями для профиля и поверхности: D=2-H; DS=3-H. Рассмотрим методику определения показателя Хёрста.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Находим N высот вершин выступов H={h1, h2,…,hN}T и определяем относительные зн</w:t>
      </w:r>
      <w:r>
        <w:rPr>
          <w:rFonts w:ascii="Times New Roman CYR" w:hAnsi="Times New Roman CYR" w:cs="Times New Roman CYR"/>
          <w:sz w:val="28"/>
          <w:szCs w:val="28"/>
        </w:rPr>
        <w:t>ачения этих высот х1,х2,…,хN, хi</w:t>
      </w:r>
      <w:r>
        <w:rPr>
          <w:rFonts w:ascii="Symbol" w:hAnsi="Symbol" w:cs="Symbol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[0,1], где 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304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Если высоты выступов подчиняются бета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распределению, то значения хi</w:t>
      </w:r>
      <w:r>
        <w:rPr>
          <w:rFonts w:ascii="Symbol" w:hAnsi="Symbol" w:cs="Symbol"/>
          <w:sz w:val="28"/>
          <w:szCs w:val="28"/>
        </w:rPr>
        <w:t>є</w:t>
      </w:r>
      <w:r>
        <w:rPr>
          <w:rFonts w:ascii="Times New Roman CYR" w:hAnsi="Times New Roman CYR" w:cs="Times New Roman CYR"/>
          <w:sz w:val="28"/>
          <w:szCs w:val="28"/>
        </w:rPr>
        <w:t xml:space="preserve"> хi</w:t>
      </w:r>
      <w:r>
        <w:rPr>
          <w:rFonts w:ascii="Symbol" w:hAnsi="Symbol" w:cs="Symbol"/>
          <w:sz w:val="28"/>
          <w:szCs w:val="28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Находим выборочное (из N высот выступов) среднее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4286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Определяем </w:t>
      </w:r>
      <w:r>
        <w:rPr>
          <w:rFonts w:ascii="Times New Roman CYR" w:hAnsi="Times New Roman CYR" w:cs="Times New Roman CYR"/>
          <w:sz w:val="28"/>
          <w:szCs w:val="28"/>
        </w:rPr>
        <w:t>накопившееся отклонение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4286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изменения накопившегося отклонения для высот выступов, имеющих бета-распределение при N=50, представлен на рис. 11.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43275" cy="21907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11. Зависимость накопившегося отклонения X(n,N) от N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графика находим размах R.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Вычисляем стандартное отклонение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выборочное среднее квадратическое отклонение относительных высот выступов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24100" cy="4572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352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Представим отношение R/S, зависящее от показателя Хёрста, в виде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4572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Н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показатель Хёрста.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репрезентативной выборке высот выступов показатель Н можно найти, используя приведенное эмпирическое выр</w:t>
      </w:r>
      <w:r>
        <w:rPr>
          <w:rFonts w:ascii="Times New Roman CYR" w:hAnsi="Times New Roman CYR" w:cs="Times New Roman CYR"/>
          <w:sz w:val="28"/>
          <w:szCs w:val="28"/>
        </w:rPr>
        <w:t>ажение Хёрста. Представляет интерес найти зависимость R/S от числа рассматриваемых выступов N. Эта зависимость в логарифмических координатах будет представлять собой прямую линию, наклон которой определяется показателем Хёрста. Фрактальная размерность посл</w:t>
      </w:r>
      <w:r>
        <w:rPr>
          <w:rFonts w:ascii="Times New Roman CYR" w:hAnsi="Times New Roman CYR" w:cs="Times New Roman CYR"/>
          <w:sz w:val="28"/>
          <w:szCs w:val="28"/>
        </w:rPr>
        <w:t>едовательности относительных значений высот выступов будет равна D=2-H.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следующий пример. В качестве исходных данных были взяты ординаты профиля поверхности (с шагом 10 мкм). Длина трассы составила 800 мкм. Ординаты имели вертикальное увеличение</w:t>
      </w:r>
      <w:r>
        <w:rPr>
          <w:rFonts w:ascii="Times New Roman CYR" w:hAnsi="Times New Roman CYR" w:cs="Times New Roman CYR"/>
          <w:sz w:val="28"/>
          <w:szCs w:val="28"/>
        </w:rPr>
        <w:t>, равное 50 000. На рис. 12 показаны профиль поверхности (кривая 1) и накопленное отклонение ординат от средней линии (кривая 2).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0" cy="19240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12. Профиль поверхности (1) и накопленное отклонение (2) ординат от средней линии п</w:t>
      </w:r>
      <w:r>
        <w:rPr>
          <w:rFonts w:ascii="Times New Roman CYR" w:hAnsi="Times New Roman CYR" w:cs="Times New Roman CYR"/>
          <w:sz w:val="28"/>
          <w:szCs w:val="28"/>
        </w:rPr>
        <w:t>рофиля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Размах зависит от рассматриваемой длины профилограммы (числа номеров ординат). Ясно, что размах растет с увеличением </w:t>
      </w:r>
      <w:r>
        <w:rPr>
          <w:rFonts w:ascii="Symbol" w:hAnsi="Symbol" w:cs="Symbol"/>
          <w:sz w:val="28"/>
          <w:szCs w:val="28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. Зависимость нормального размаха, определяемого выражением (R/S), от </w:t>
      </w:r>
      <w:r>
        <w:rPr>
          <w:rFonts w:ascii="Symbol" w:hAnsi="Symbol" w:cs="Symbol"/>
          <w:sz w:val="28"/>
          <w:szCs w:val="28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показана в логарифмических координатах для рассматриваемой</w:t>
      </w:r>
      <w:r>
        <w:rPr>
          <w:rFonts w:ascii="Times New Roman CYR" w:hAnsi="Times New Roman CYR" w:cs="Times New Roman CYR"/>
          <w:sz w:val="28"/>
          <w:szCs w:val="28"/>
        </w:rPr>
        <w:t xml:space="preserve"> стальной поверхности на рис. 1.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0425" cy="18097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13 Метод нормированного размаха для оценки фрактальной размерности профиля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алгоритм определения показателя Хёрста с помощью метода наименьших квадратов (МНК). Будем ис</w:t>
      </w:r>
      <w:r>
        <w:rPr>
          <w:rFonts w:ascii="Times New Roman CYR" w:hAnsi="Times New Roman CYR" w:cs="Times New Roman CYR"/>
          <w:sz w:val="28"/>
          <w:szCs w:val="28"/>
        </w:rPr>
        <w:t>кать уравнение регрессии в виде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=b+mx,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y=lg(R/S), b=lg(a), m=H, x=lg(</w:t>
      </w:r>
      <w:r>
        <w:rPr>
          <w:rFonts w:ascii="Times New Roman" w:hAnsi="Times New Roman" w:cs="Times New Roman"/>
          <w:sz w:val="28"/>
          <w:szCs w:val="28"/>
        </w:rPr>
        <w:t>τ/2).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Вход: N (число точек), (</w:t>
      </w:r>
      <w:r>
        <w:rPr>
          <w:rFonts w:ascii="Times New Roman" w:hAnsi="Times New Roman" w:cs="Times New Roman"/>
          <w:sz w:val="28"/>
          <w:szCs w:val="28"/>
        </w:rPr>
        <w:t>ξi, ηi), i=1,2,…,N (</w:t>
      </w:r>
      <w:r>
        <w:rPr>
          <w:rFonts w:ascii="Times New Roman CYR" w:hAnsi="Times New Roman CYR" w:cs="Times New Roman CYR"/>
          <w:sz w:val="28"/>
          <w:szCs w:val="28"/>
        </w:rPr>
        <w:t>координаты точек)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Выход: b=lg(a) (сдвиг), m=H (наклон)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Алгоритм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:rsidR="00000000" w:rsidRDefault="00C05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=N=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4286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=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4286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=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4381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=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4191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=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4286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=A11A22</w:t>
      </w:r>
      <w:r>
        <w:rPr>
          <w:rFonts w:ascii="Times New Roman" w:hAnsi="Times New Roman" w:cs="Times New Roman"/>
          <w:sz w:val="28"/>
          <w:szCs w:val="28"/>
          <w:lang w:val="en-US"/>
        </w:rPr>
        <w:t>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A21A12=d1A22</w:t>
      </w:r>
      <w:r>
        <w:rPr>
          <w:rFonts w:ascii="Times New Roman" w:hAnsi="Times New Roman" w:cs="Times New Roman"/>
          <w:sz w:val="28"/>
          <w:szCs w:val="28"/>
          <w:lang w:val="en-US"/>
        </w:rPr>
        <w:t>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d2A12=A11d2</w:t>
      </w:r>
      <w:r>
        <w:rPr>
          <w:rFonts w:ascii="Times New Roman" w:hAnsi="Times New Roman" w:cs="Times New Roman"/>
          <w:sz w:val="28"/>
          <w:szCs w:val="28"/>
          <w:lang w:val="en-US"/>
        </w:rPr>
        <w:t>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A21d1=lg(a)=D1/D</w:t>
      </w:r>
    </w:p>
    <w:p w:rsidR="00000000" w:rsidRDefault="00C05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m=H=D2/D</w:t>
      </w:r>
    </w:p>
    <w:p w:rsidR="00000000" w:rsidRDefault="00C05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Аппроксимирующей функцией зависимости, представленной на рис. 13, является степенная зависимость вида: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5524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пока</w:t>
      </w:r>
      <w:r>
        <w:rPr>
          <w:rFonts w:ascii="Times New Roman CYR" w:hAnsi="Times New Roman CYR" w:cs="Times New Roman CYR"/>
          <w:sz w:val="28"/>
          <w:szCs w:val="28"/>
        </w:rPr>
        <w:t xml:space="preserve">затель Хёрста равен H=0,35, и фрактальная размерность профиля оценивается величиной D=2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H=2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0,35=1,65.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Статистическая самоаффинность обусловлена сходством внешнего вида профиля при разных масштабах. Иными словами, шероховатая поверхность всегда негладк</w:t>
      </w:r>
      <w:r>
        <w:rPr>
          <w:rFonts w:ascii="Times New Roman CYR" w:hAnsi="Times New Roman CYR" w:cs="Times New Roman CYR"/>
          <w:sz w:val="28"/>
          <w:szCs w:val="28"/>
        </w:rPr>
        <w:t>ая при рассмотрении с разным увеличением.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0,5&lt;H&lt;1 - последовательность ординат профиля характеризуется эффектом долговременной памяти. При приближении показателя Хёрста к единице профиль становится гладким и не фрактальным.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0&lt;H&lt;0,5 - последовательн</w:t>
      </w:r>
      <w:r>
        <w:rPr>
          <w:rFonts w:ascii="Times New Roman CYR" w:hAnsi="Times New Roman CYR" w:cs="Times New Roman CYR"/>
          <w:sz w:val="28"/>
          <w:szCs w:val="28"/>
        </w:rPr>
        <w:t>ость ординат профиля характеризуется отсутствием эффекта памяти.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примера на рис. 14 показана последовательность временного ряда (или ординат профиля шероховатой поверхности) и зависимость нормированного размаха от времени (длины профиля).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81600" cy="21145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14. Последовательность ординат и зависимость нормированного размаха от длины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Обращает на себя внимание разное значение показателя Хёрста на трех участках R/S - анализа. При малом числе элементов показатель Хёрста близ</w:t>
      </w:r>
      <w:r>
        <w:rPr>
          <w:rFonts w:ascii="Times New Roman CYR" w:hAnsi="Times New Roman CYR" w:cs="Times New Roman CYR"/>
          <w:sz w:val="28"/>
          <w:szCs w:val="28"/>
        </w:rPr>
        <w:t>ок к единице и не совсем отражает фрактальную структуру объекта.</w:t>
      </w:r>
    </w:p>
    <w:p w:rsidR="00000000" w:rsidRDefault="00C053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Сейлс и Томас (R.S. Sayles, T.R. Thomas) измерили и проанализировали шероховатость поверхностей разнообразных объектов, в том числе и инженерных металлических поверхностей.</w:t>
      </w:r>
    </w:p>
    <w:p w:rsidR="00000000" w:rsidRDefault="00C053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поверхности</w:t>
      </w:r>
      <w:r>
        <w:rPr>
          <w:rFonts w:ascii="Times New Roman CYR" w:hAnsi="Times New Roman CYR" w:cs="Times New Roman CYR"/>
          <w:sz w:val="28"/>
          <w:szCs w:val="28"/>
        </w:rPr>
        <w:t xml:space="preserve"> z измерялась в различных точках х вдоль некоторого направления. Имея большое число измерений по всему участку поверхности, можно рассчитать шероховатость поверхности, определяемую дисперсией:</w:t>
      </w:r>
    </w:p>
    <w:p w:rsidR="00000000" w:rsidRDefault="00C053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28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4667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угловые скобки обоз</w:t>
      </w:r>
      <w:r>
        <w:rPr>
          <w:rFonts w:ascii="Times New Roman CYR" w:hAnsi="Times New Roman CYR" w:cs="Times New Roman CYR"/>
          <w:sz w:val="28"/>
          <w:szCs w:val="28"/>
        </w:rPr>
        <w:t>начают усреднение по серии измерений (иногда многократных повторных) топографии поверхности. Точка отсчета по вертикали выбирается так, что</w:t>
      </w:r>
    </w:p>
    <w:p w:rsidR="00000000" w:rsidRDefault="00C053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3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4762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мерой статистических свойств поверхности является корреляционная функц</w:t>
      </w:r>
      <w:r>
        <w:rPr>
          <w:rFonts w:ascii="Times New Roman CYR" w:hAnsi="Times New Roman CYR" w:cs="Times New Roman CYR"/>
          <w:sz w:val="28"/>
          <w:szCs w:val="28"/>
        </w:rPr>
        <w:t>ия, определяемая соотношением:</w:t>
      </w:r>
    </w:p>
    <w:p w:rsidR="00000000" w:rsidRDefault="00C053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90700" cy="2952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стационарных поверхностей корреляционную функцию можно выразить через спектр мощности G(</w:t>
      </w:r>
      <w:r>
        <w:rPr>
          <w:rFonts w:ascii="Symbol" w:hAnsi="Symbol" w:cs="Symbol"/>
          <w:sz w:val="28"/>
          <w:szCs w:val="28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) с помощью преобразования Фурье</w:t>
      </w:r>
    </w:p>
    <w:p w:rsidR="00000000" w:rsidRDefault="00C053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28875" cy="5143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352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 xml:space="preserve">ω - </w:t>
      </w:r>
      <w:r>
        <w:rPr>
          <w:rFonts w:ascii="Times New Roman CYR" w:hAnsi="Times New Roman CYR" w:cs="Times New Roman CYR"/>
          <w:sz w:val="28"/>
          <w:szCs w:val="28"/>
        </w:rPr>
        <w:t>частота.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 xml:space="preserve">ля шероховатой поверхности нижний и верхний пределы интегрирования будут 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ω min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ω max.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частот характеризуется первым и вторым кроссоверами (рис. 1.3).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самоаффинного или самоподобного профиля поверхности спектральная плотность им</w:t>
      </w:r>
      <w:r>
        <w:rPr>
          <w:rFonts w:ascii="Times New Roman CYR" w:hAnsi="Times New Roman CYR" w:cs="Times New Roman CYR"/>
          <w:sz w:val="28"/>
          <w:szCs w:val="28"/>
        </w:rPr>
        <w:t>еет степенной вид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1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66850" cy="3333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409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f - частота дискретизации; а и b - коэффициенты регрессии.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а носит название коэффициент изрезанности, а b - характеризует фрактальную размерность профиля.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Соотношение "периметр-площадь"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Сравним соо</w:t>
      </w:r>
      <w:r>
        <w:rPr>
          <w:rFonts w:ascii="Times New Roman CYR" w:hAnsi="Times New Roman CYR" w:cs="Times New Roman CYR"/>
          <w:sz w:val="28"/>
          <w:szCs w:val="28"/>
        </w:rPr>
        <w:t>тношение "периметр-площадь" для нефрактальных (табл. 1) и фрактальных геометрических объектов.</w:t>
      </w:r>
    </w:p>
    <w:p w:rsidR="00000000" w:rsidRDefault="00C0535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Нефрактальные объекты.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Соотношение "периметр - площадь" в эвклидовой геометрии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1221"/>
        <w:gridCol w:w="1191"/>
        <w:gridCol w:w="10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53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Фигура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53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Периметр Р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53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Площадь 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53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R=Р/А1/2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53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Круг Шестигранник Квадрат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53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6L 4L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53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πD2/4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33/2L2/2 L2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53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3,545 3,722 4</w:t>
            </w:r>
          </w:p>
        </w:tc>
      </w:tr>
    </w:tbl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Фрактальные объекты.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аналогии с нефрактальными объектами запишем соотношение "периметр-площадь" в виде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3524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352">
        <w:rPr>
          <w:rFonts w:ascii="Times New Roman CYR" w:hAnsi="Times New Roman CYR" w:cs="Times New Roman CYR"/>
          <w:sz w:val="28"/>
          <w:szCs w:val="28"/>
        </w:rPr>
        <w:t>. (1)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P - периметр; A - площадь; R(</w:t>
      </w:r>
      <w:r>
        <w:rPr>
          <w:rFonts w:ascii="Times New Roman" w:hAnsi="Times New Roman" w:cs="Times New Roman"/>
          <w:sz w:val="28"/>
          <w:szCs w:val="28"/>
        </w:rPr>
        <w:t xml:space="preserve">δ) - </w:t>
      </w:r>
      <w:r>
        <w:rPr>
          <w:rFonts w:ascii="Times New Roman CYR" w:hAnsi="Times New Roman CYR" w:cs="Times New Roman CYR"/>
          <w:sz w:val="28"/>
          <w:szCs w:val="28"/>
        </w:rPr>
        <w:t xml:space="preserve">параметр, зависящий </w:t>
      </w:r>
      <w:r>
        <w:rPr>
          <w:rFonts w:ascii="Times New Roman CYR" w:hAnsi="Times New Roman CYR" w:cs="Times New Roman CYR"/>
          <w:sz w:val="28"/>
          <w:szCs w:val="28"/>
        </w:rPr>
        <w:t>от масштаба измерения (размера квадратной ячейки); D - фрактальная размерность "береговой" линии (1 &lt; D &lt; 2).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Учитывая, что периметр определяется выражением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71650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352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запишем соотношение (1) в виде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3524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352">
        <w:rPr>
          <w:rFonts w:ascii="Times New Roman CYR" w:hAnsi="Times New Roman CYR" w:cs="Times New Roman CYR"/>
          <w:sz w:val="28"/>
          <w:szCs w:val="28"/>
        </w:rPr>
        <w:t>. (2)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с - коэффициент.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периметра при разных масштабах измерения определяется по формуле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52650" cy="4381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352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</w:t>
      </w:r>
      <w:r>
        <w:rPr>
          <w:rFonts w:ascii="Times New Roman CYR" w:hAnsi="Times New Roman CYR" w:cs="Times New Roman CYR"/>
          <w:sz w:val="28"/>
          <w:szCs w:val="28"/>
        </w:rPr>
        <w:t xml:space="preserve">шение (2) выражает условие самоподобия "островов" с фрактальными границами (при этом масштаб измерения </w:t>
      </w:r>
      <w:r>
        <w:rPr>
          <w:rFonts w:ascii="Times New Roman" w:hAnsi="Times New Roman" w:cs="Times New Roman"/>
          <w:sz w:val="28"/>
          <w:szCs w:val="28"/>
        </w:rPr>
        <w:t xml:space="preserve">δ </w:t>
      </w:r>
      <w:r>
        <w:rPr>
          <w:rFonts w:ascii="Times New Roman CYR" w:hAnsi="Times New Roman CYR" w:cs="Times New Roman CYR"/>
          <w:sz w:val="28"/>
          <w:szCs w:val="28"/>
        </w:rPr>
        <w:t>должен быть достаточно маленьким, чтобы точно измерять область наименьшего острова).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Прологарифмируем соотношение (2)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33675" cy="4000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Преобразовав полученное выражение, запишем: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3524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352">
        <w:rPr>
          <w:rFonts w:ascii="Times New Roman CYR" w:hAnsi="Times New Roman CYR" w:cs="Times New Roman CYR"/>
          <w:sz w:val="28"/>
          <w:szCs w:val="28"/>
        </w:rPr>
        <w:t xml:space="preserve"> (3)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15 показана зависимость "периметр - площадь", представленная в логарифмических координатах.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Угловой коэффициент прямой, представленной на рис. 15, равен 2/</w:t>
      </w:r>
      <w:r>
        <w:rPr>
          <w:rFonts w:ascii="Times New Roman CYR" w:hAnsi="Times New Roman CYR" w:cs="Times New Roman CYR"/>
          <w:sz w:val="28"/>
          <w:szCs w:val="28"/>
        </w:rPr>
        <w:t>D.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76425" cy="15240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3.15. Зависимость "площадь - периметр"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выражения (3) показывает, что величиной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-2lg(c1/Dδ1-D)/D),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зависящей от масштаба измерения </w:t>
      </w:r>
      <w:r>
        <w:rPr>
          <w:rFonts w:ascii="Times New Roman" w:hAnsi="Times New Roman" w:cs="Times New Roman"/>
          <w:sz w:val="28"/>
          <w:szCs w:val="28"/>
        </w:rPr>
        <w:t xml:space="preserve">δ, </w:t>
      </w:r>
      <w:r>
        <w:rPr>
          <w:rFonts w:ascii="Times New Roman CYR" w:hAnsi="Times New Roman CYR" w:cs="Times New Roman CYR"/>
          <w:sz w:val="28"/>
          <w:szCs w:val="28"/>
        </w:rPr>
        <w:t>можно пренебречь, так как при достаточно большом масштабе измерения "ос</w:t>
      </w:r>
      <w:r>
        <w:rPr>
          <w:rFonts w:ascii="Times New Roman CYR" w:hAnsi="Times New Roman CYR" w:cs="Times New Roman CYR"/>
          <w:sz w:val="28"/>
          <w:szCs w:val="28"/>
        </w:rPr>
        <w:t>тров" становится нефрактальным объектом. Действительно, при D=DE=1 и масштабе, при котором с=1, имеем: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85850" cy="2095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Окончательно запишем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52550" cy="2952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352">
        <w:rPr>
          <w:rFonts w:ascii="Times New Roman CYR" w:hAnsi="Times New Roman CYR" w:cs="Times New Roman CYR"/>
          <w:sz w:val="28"/>
          <w:szCs w:val="28"/>
        </w:rPr>
        <w:t>. (4)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выражения (4) найдем фрактальную размерность </w:t>
      </w:r>
      <w:r>
        <w:rPr>
          <w:rFonts w:ascii="Times New Roman CYR" w:hAnsi="Times New Roman CYR" w:cs="Times New Roman CYR"/>
          <w:sz w:val="28"/>
          <w:szCs w:val="28"/>
        </w:rPr>
        <w:t>"береговой" линии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4476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(рис. 15), построенный в двойных логарифмических координатах, отражает условие самоподобия и позволяет найти фрактальную размерность.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Процедура определения фрактальной размерности заключается </w:t>
      </w:r>
      <w:r>
        <w:rPr>
          <w:rFonts w:ascii="Times New Roman CYR" w:hAnsi="Times New Roman CYR" w:cs="Times New Roman CYR"/>
          <w:sz w:val="28"/>
          <w:szCs w:val="28"/>
        </w:rPr>
        <w:t xml:space="preserve">в покрытии фрактального объекта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"острова" - квадратной сеткой с размером ячейки </w:t>
      </w:r>
      <w:r>
        <w:rPr>
          <w:rFonts w:ascii="Times New Roman" w:hAnsi="Times New Roman" w:cs="Times New Roman"/>
          <w:sz w:val="28"/>
          <w:szCs w:val="28"/>
        </w:rPr>
        <w:t>δ.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периметр и площадь фигуры можно определить по формулам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0" cy="2095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352">
        <w:rPr>
          <w:rFonts w:ascii="Times New Roman CYR" w:hAnsi="Times New Roman CYR" w:cs="Times New Roman CYR"/>
          <w:sz w:val="28"/>
          <w:szCs w:val="28"/>
        </w:rPr>
        <w:t xml:space="preserve"> (5)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число заполненных "береговой" линией ячеек; 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095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число ячеек, покрывающих площадь "острова".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после подсчета 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2177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095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 формулам (5) и (4) вычисляется фрактальная размерность D.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фрактальной размерности поверхности используем подход, предложенный Б. Мандельбротом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2095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Размерность фрактальных поверхностей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периметр-площадь используют, чтобы характеризовать множество фрактальных объектов, используемых в широком диапазоне научных и технических проблем.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это соотношение эффективно использует</w:t>
      </w:r>
      <w:r>
        <w:rPr>
          <w:rFonts w:ascii="Times New Roman CYR" w:hAnsi="Times New Roman CYR" w:cs="Times New Roman CYR"/>
          <w:sz w:val="28"/>
          <w:szCs w:val="28"/>
        </w:rPr>
        <w:t>ся в работах, в которых дается характеристика поверхностей излома стали и методика для определения конкретных поверхностей изломов.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инженерным поверхностям подобное соотношение используется редко. В основном при определении фрактальной разм</w:t>
      </w:r>
      <w:r>
        <w:rPr>
          <w:rFonts w:ascii="Times New Roman CYR" w:hAnsi="Times New Roman CYR" w:cs="Times New Roman CYR"/>
          <w:sz w:val="28"/>
          <w:szCs w:val="28"/>
        </w:rPr>
        <w:t>ерности поверхности применяют метод покрытия. На рис. 16 представлены модели фрактальных поверхностей при разных значениях фрактальной размерности.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фрактальной размерности поверхности рассмотрим контакт фрактальной поверхности с гладкой.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качестве примера возьмем сечение поверхности плоскостью, параллельной срединной плоскости. На рис. 17 представлено такое сечение фрактальной поверхности с DS = 2,6.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28950" cy="2133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16. Модели фрактальных поверхностей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19375" cy="25431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17. Сечение фрактальной поверхности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все "острова" на рис. 17 самоподобны. Тогда для анализа соотношения периметр-площадь выделим характерный "остров" (рис. 18).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18383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18. Изображение "острова"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19 представлена процедура определения фрактальной размерности клеточным методом.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14700" cy="30956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19. К оценке фрактальной размерности: покрытие фракталь</w:t>
      </w:r>
      <w:r>
        <w:rPr>
          <w:rFonts w:ascii="Times New Roman CYR" w:hAnsi="Times New Roman CYR" w:cs="Times New Roman CYR"/>
          <w:sz w:val="28"/>
          <w:szCs w:val="28"/>
        </w:rPr>
        <w:t>ного объекта сеткой с квадратными ячейками (Paul S. Addison)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20 представлен график зависимости "площадь-периметр" в двойных логарифмических координатах, построенный на основании рис. 19.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считаем, что число квадратов пропорционально соотве</w:t>
      </w:r>
      <w:r>
        <w:rPr>
          <w:rFonts w:ascii="Times New Roman CYR" w:hAnsi="Times New Roman CYR" w:cs="Times New Roman CYR"/>
          <w:sz w:val="28"/>
          <w:szCs w:val="28"/>
        </w:rPr>
        <w:t>тствующим параметрам: площади и периметра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2095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числа клеток, покрывающих площадь "острова" NA, от числа клеток, в которых попала "береговая" линия острова NP , построенная в логарифмических координатах при разн</w:t>
      </w:r>
      <w:r>
        <w:rPr>
          <w:rFonts w:ascii="Times New Roman CYR" w:hAnsi="Times New Roman CYR" w:cs="Times New Roman CYR"/>
          <w:sz w:val="28"/>
          <w:szCs w:val="28"/>
        </w:rPr>
        <w:t>ых размерах стороны квадратной ячейки, оценивается в данном примере уравнением регрессии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=-69,14+3,303NP.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28975" cy="3057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20. Зависимости "площадь-периметр"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Фрактальная размерность определяется выражением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position w:val="-7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9810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контакта двух фрактальных поверхностей, имеющих свои фрактальные размерности, привлекательным моментом является замена двух фрактальных поверхностей на контакт гладкой поверхности с приведенной фракталь</w:t>
      </w:r>
      <w:r>
        <w:rPr>
          <w:rFonts w:ascii="Times New Roman CYR" w:hAnsi="Times New Roman CYR" w:cs="Times New Roman CYR"/>
          <w:sz w:val="28"/>
          <w:szCs w:val="28"/>
        </w:rPr>
        <w:t>ной.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целью используем ранее рассмотренную процедуру. Смоделируем контакт двух поверхностей и определим пятна касания при некотором сближении.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21 показана картина контакта двух поверхностей с выделенным для исследования "островом".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770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00525" cy="42291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21. Контакт фрактальных поверхностей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53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Мандельброт Б. Фрактальная геометрия природы / Б. Мандельброт: [пер. с англ.]. - М.: Институт компьютерных исследований, 2012. - 656 с.</w:t>
      </w:r>
    </w:p>
    <w:p w:rsidR="00000000" w:rsidRDefault="00C053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Федер Е. Фракталы / Е</w:t>
      </w:r>
      <w:r>
        <w:rPr>
          <w:rFonts w:ascii="Times New Roman CYR" w:hAnsi="Times New Roman CYR" w:cs="Times New Roman CYR"/>
          <w:sz w:val="28"/>
          <w:szCs w:val="28"/>
        </w:rPr>
        <w:t>. Федер: [пер. с англ.]. - М.: Мир, 1991. - 254 с.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Mandelbrot B.B. Fractal character of fracture surfaces of metals / B.B. Mandelbrot [et al.]//Nature, 1984. - V. 308. - P. 721-722.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Mu Z.Q. Studies on the fractal dimension and fracture toughness of st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eel / Z.Q. Mu, C.W. Lung // J. Phys. </w:t>
      </w:r>
      <w:r>
        <w:rPr>
          <w:rFonts w:ascii="Times New Roman CYR" w:hAnsi="Times New Roman CYR" w:cs="Times New Roman CYR"/>
          <w:sz w:val="28"/>
          <w:szCs w:val="28"/>
        </w:rPr>
        <w:t>D: Appl. Phys., 1988. - V. 21. - P. 848-850.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Sayles R.S. Surface topography as a nonstationary random process / R.S. Sayles, T.R. Thomas // Nature, 1978. - V. 271. - P. 431-434.</w:t>
      </w:r>
    </w:p>
    <w:p w:rsidR="00000000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Addison P.S. Fractals and Chaos-An Illustrated Course / P.S. Addison. - Inst.of Physics Publishing. - Bristol, 2007.</w:t>
      </w:r>
    </w:p>
    <w:p w:rsidR="00C05352" w:rsidRDefault="00C053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sectPr w:rsidR="00C053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05"/>
    <w:rsid w:val="00217705"/>
    <w:rsid w:val="00C0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CB9D0C-684A-406A-82C2-EA78724E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theme" Target="theme/theme1.xml"/><Relationship Id="rId16" Type="http://schemas.openxmlformats.org/officeDocument/2006/relationships/image" Target="media/image13.wmf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wmf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wmf"/><Relationship Id="rId14" Type="http://schemas.openxmlformats.org/officeDocument/2006/relationships/image" Target="media/image11.png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png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png"/><Relationship Id="rId56" Type="http://schemas.openxmlformats.org/officeDocument/2006/relationships/image" Target="media/image53.wmf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wmf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png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png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png"/><Relationship Id="rId57" Type="http://schemas.openxmlformats.org/officeDocument/2006/relationships/image" Target="media/image54.wmf"/><Relationship Id="rId10" Type="http://schemas.openxmlformats.org/officeDocument/2006/relationships/image" Target="media/image7.png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wmf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wmf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png"/><Relationship Id="rId66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3504</Words>
  <Characters>19973</Characters>
  <Application>Microsoft Office Word</Application>
  <DocSecurity>0</DocSecurity>
  <Lines>166</Lines>
  <Paragraphs>46</Paragraphs>
  <ScaleCrop>false</ScaleCrop>
  <Company/>
  <LinksUpToDate>false</LinksUpToDate>
  <CharactersWithSpaces>23431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2025-02-14T06:27:00Z</dcterms:created>
  <dcterms:modified xsi:type="dcterms:W3CDTF">2025-02-14T06:27:00Z</dcterms:modified>
</cp:coreProperties>
</file>