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работа 4:</w:t>
      </w:r>
    </w:p>
    <w:p w:rsidR="00000000" w:rsidRDefault="000B17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статистическое планирование эксперимента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Задача. Планирование эксперимента для описания зависимости показателя стойкости концевых фрез от геометрических параметров. Рассмотрим пример применения планировани</w:t>
      </w:r>
      <w:r>
        <w:rPr>
          <w:rFonts w:ascii="Times New Roman CYR" w:hAnsi="Times New Roman CYR" w:cs="Times New Roman CYR"/>
          <w:sz w:val="28"/>
          <w:szCs w:val="28"/>
        </w:rPr>
        <w:t>я эксперимента. Поставим задачу описания зависимости показателя стойкости концевых фрез от заднего угла х1, переднего угла х2, ширины ленточки х3. В качестве математической модели принимаем неполную кубическую функцию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М{у} =</w:t>
      </w:r>
      <w:r>
        <w:rPr>
          <w:rFonts w:ascii="Times New Roman" w:hAnsi="Times New Roman" w:cs="Times New Roman"/>
          <w:sz w:val="28"/>
          <w:szCs w:val="28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 xml:space="preserve">3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 xml:space="preserve">6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 β</w:t>
      </w:r>
      <w:r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3. (5)</w:t>
      </w:r>
    </w:p>
    <w:p w:rsidR="00000000" w:rsidRDefault="000B1759">
      <w:pPr>
        <w:widowControl w:val="0"/>
        <w:tabs>
          <w:tab w:val="left" w:pos="53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оценок коэффициентов этого уравнения можно использовать полный факторный эксперимент типа 23. Выберем основные уровни факторов, близкие к применяемым в практике, а интервалы варьирования - исходя из реальны</w:t>
      </w:r>
      <w:r>
        <w:rPr>
          <w:rFonts w:ascii="Times New Roman CYR" w:hAnsi="Times New Roman CYR" w:cs="Times New Roman CYR"/>
          <w:sz w:val="28"/>
          <w:szCs w:val="28"/>
        </w:rPr>
        <w:t>х пределов колебаний значений факторов (табл. 2). Эксперименты выполняем в соответствии с матрицей планирования (см. табл.1).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испытаний. Испытывали концевые фрезы диаметром 22 мм, изготовленные из стали Р18. Фрезы были заточены так, чтобы получить </w:t>
      </w:r>
      <w:r>
        <w:rPr>
          <w:rFonts w:ascii="Times New Roman CYR" w:hAnsi="Times New Roman CYR" w:cs="Times New Roman CYR"/>
          <w:sz w:val="28"/>
          <w:szCs w:val="28"/>
        </w:rPr>
        <w:t>комбинации значений параметров, указанные в строках матрицы плана эксперимента.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планирование эксперимент показатель фреза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0B1759">
      <w:pPr>
        <w:widowControl w:val="0"/>
        <w:tabs>
          <w:tab w:val="left" w:pos="56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Уровни факторов и интервалы варьирования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006"/>
        <w:gridCol w:w="979"/>
        <w:gridCol w:w="989"/>
        <w:gridCol w:w="10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 факторов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Обозначение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а°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x3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вал варьирования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Δx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Верхний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+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Нижний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</w:tr>
    </w:tbl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каждой точке факторного пространства опыт повторялся по 3 раза, поэтому для каждой строки плана изготовляли по 3 фрезы. Порядок испытаний фрез рандомизирован с помощью т</w:t>
      </w:r>
      <w:r>
        <w:rPr>
          <w:rFonts w:ascii="Times New Roman CYR" w:hAnsi="Times New Roman CYR" w:cs="Times New Roman CYR"/>
          <w:sz w:val="28"/>
          <w:szCs w:val="28"/>
        </w:rPr>
        <w:t>аблицы случайных чисел. Результаты испытаний (стойкость фрез в минутах) приведены в табл. 3 столбцы 2-4.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0B1759">
      <w:pPr>
        <w:widowControl w:val="0"/>
        <w:tabs>
          <w:tab w:val="left" w:pos="56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испытаний концевых фрез 22 мм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092"/>
        <w:gridCol w:w="684"/>
        <w:gridCol w:w="814"/>
        <w:gridCol w:w="971"/>
        <w:gridCol w:w="982"/>
        <w:gridCol w:w="957"/>
        <w:gridCol w:w="13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Точки плана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6C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sv2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096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39,46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28,81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44,76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41,74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31,42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35,8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48,48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38,15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38,3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46,44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30,85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35,48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90,88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42,42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36,20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42,30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40,92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42,96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46,21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4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y=3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Σs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v2=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356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</w:tr>
    </w:tbl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Рассч</w:t>
      </w:r>
      <w:r>
        <w:rPr>
          <w:rFonts w:ascii="Times New Roman CYR" w:hAnsi="Times New Roman CYR" w:cs="Times New Roman CYR"/>
          <w:sz w:val="28"/>
          <w:szCs w:val="28"/>
        </w:rPr>
        <w:t>итаем коэффициенты уравнения для нашего примера (см. табл. 3).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19725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рассчитываются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3. Расчет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0 выполняется по тому же правилу: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9700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значение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0 ра</w:t>
      </w:r>
      <w:r>
        <w:rPr>
          <w:rFonts w:ascii="Times New Roman CYR" w:hAnsi="Times New Roman CYR" w:cs="Times New Roman CYR"/>
          <w:sz w:val="28"/>
          <w:szCs w:val="28"/>
        </w:rPr>
        <w:t xml:space="preserve">вно среднему значению параметра оптимизации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571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Итак получаем: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0 = 38,48;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 =-3,28,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2 = 2,01,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3 = - 7,64;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12= 0,65;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13= - 0,65,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23 = 0,39,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123 = -0,5.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в преобразованных переменных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будет: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получения уравнения в натуральных значениях факторов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надо вместо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подставить в полученное уравнение их значения согласно формуле преобразования (4):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466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485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504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нашего примера из табл.3 имеем, что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438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Тогда, согласно уравнению (8):</w:t>
      </w: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457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</w:t>
      </w:r>
      <w:r>
        <w:rPr>
          <w:rFonts w:ascii="Times New Roman CYR" w:hAnsi="Times New Roman CYR" w:cs="Times New Roman CYR"/>
          <w:sz w:val="28"/>
          <w:szCs w:val="28"/>
        </w:rPr>
        <w:t>ьзуясь табл.3 найдем по критерию Кохрена</w:t>
      </w: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485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соответствующей таблице в работе [11] находим для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fmax</w:t>
      </w:r>
      <w:r>
        <w:rPr>
          <w:rFonts w:ascii="Times New Roman CYR" w:hAnsi="Times New Roman CYR" w:cs="Times New Roman CYR"/>
          <w:sz w:val="28"/>
          <w:szCs w:val="28"/>
        </w:rPr>
        <w:t xml:space="preserve"> =2,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знам - N степеней свободы и уровня значимости 5%. Критическое значение GKP = 0,61. Гипотеза об однородности диспер</w:t>
      </w:r>
      <w:r>
        <w:rPr>
          <w:rFonts w:ascii="Times New Roman CYR" w:hAnsi="Times New Roman CYR" w:cs="Times New Roman CYR"/>
          <w:sz w:val="28"/>
          <w:szCs w:val="28"/>
        </w:rPr>
        <w:t>сий принимается, если, как в нашем случае, экспериментальное значение критерия Кохрена не превышает табличного значения.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 значимость коэффициентов модели: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формулы вид</w:t>
      </w:r>
      <w:r>
        <w:rPr>
          <w:rFonts w:ascii="Times New Roman CYR" w:hAnsi="Times New Roman CYR" w:cs="Times New Roman CYR"/>
          <w:sz w:val="28"/>
          <w:szCs w:val="28"/>
        </w:rPr>
        <w:t>но, что дисперсии всех коэффициентов равны друг другу, так как они зависят только от ошибки опыта и числа опытов. Теперь рассчитаем значения tl-критерия по формуле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466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Получаем:</w:t>
      </w: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485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485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485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4857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85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85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85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85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ое значение tKP находится по таблице работы [11]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(r- 1) = 16 степенях свободы и заданном уровне значимости </w:t>
      </w:r>
      <w:r>
        <w:rPr>
          <w:rFonts w:ascii="Times New Roman" w:hAnsi="Times New Roman" w:cs="Times New Roman"/>
          <w:sz w:val="28"/>
          <w:szCs w:val="28"/>
        </w:rPr>
        <w:t xml:space="preserve">α= 5%. </w:t>
      </w:r>
      <w:r>
        <w:rPr>
          <w:rFonts w:ascii="Times New Roman CYR" w:hAnsi="Times New Roman CYR" w:cs="Times New Roman CYR"/>
          <w:sz w:val="28"/>
          <w:szCs w:val="28"/>
        </w:rPr>
        <w:t>В нашем случае tKP&gt; = 1,74. Если ti&gt;tKP , то гипотеза отвергается и коэффициент bi признается значимым. В противном случае bi считается с</w:t>
      </w:r>
      <w:r>
        <w:rPr>
          <w:rFonts w:ascii="Times New Roman CYR" w:hAnsi="Times New Roman CYR" w:cs="Times New Roman CYR"/>
          <w:sz w:val="28"/>
          <w:szCs w:val="28"/>
        </w:rPr>
        <w:t>татистически незначимым, т. е.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i= 0. В нашем случае такими незначимыми коэффициентами являются b12, b13, b23, b123. Теперь можно построить доверительный интервал длиной 2</w:t>
      </w:r>
      <w:r>
        <w:rPr>
          <w:rFonts w:ascii="Times New Roman" w:hAnsi="Times New Roman" w:cs="Times New Roman"/>
          <w:sz w:val="28"/>
          <w:szCs w:val="28"/>
        </w:rPr>
        <w:t>Δb</w:t>
      </w:r>
      <w:r>
        <w:rPr>
          <w:rFonts w:ascii="Times New Roman CYR" w:hAnsi="Times New Roman CYR" w:cs="Times New Roman CYR"/>
          <w:sz w:val="28"/>
          <w:szCs w:val="28"/>
        </w:rPr>
        <w:t>i, где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2381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значим, если его абсолютная</w:t>
      </w:r>
      <w:r>
        <w:rPr>
          <w:rFonts w:ascii="Times New Roman CYR" w:hAnsi="Times New Roman CYR" w:cs="Times New Roman CYR"/>
          <w:sz w:val="28"/>
          <w:szCs w:val="28"/>
        </w:rPr>
        <w:t xml:space="preserve"> величина больше половины длины доверительного интервала. Ортогональное планирование позволяет определять доверительные границы для каждого из коэффициентов регрессии в отдельности, если какой- либо из коэффициентов окажется незначимым, он может быть отбро</w:t>
      </w:r>
      <w:r>
        <w:rPr>
          <w:rFonts w:ascii="Times New Roman CYR" w:hAnsi="Times New Roman CYR" w:cs="Times New Roman CYR"/>
          <w:sz w:val="28"/>
          <w:szCs w:val="28"/>
        </w:rPr>
        <w:t>шен без пересчета всех остальных. После этого математическая модель объекта составляется в виде уравнения связи выходного параметра у и переменных 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 включающего только значимые коэффициенты. Для нашего примера получаем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86025" cy="3048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759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получить модель в натуральных переменных, надо в уравнение подставить выражения 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из формулы преобразования.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Получаем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304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Статистическая незначимость коэффициента bi может быть обусловлена следующими причинами: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уровень базового режима xi0 близок к точке частного экстремума по переменной 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, т. е.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485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шаг варьирования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sz w:val="28"/>
          <w:szCs w:val="28"/>
        </w:rPr>
        <w:t xml:space="preserve"> выбран малым;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данная переменная (произведение переменных) не имеет функциональной связи с выходным парам</w:t>
      </w:r>
      <w:r>
        <w:rPr>
          <w:rFonts w:ascii="Times New Roman CYR" w:hAnsi="Times New Roman CYR" w:cs="Times New Roman CYR"/>
          <w:sz w:val="28"/>
          <w:szCs w:val="28"/>
        </w:rPr>
        <w:t xml:space="preserve">етром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велика ошибка эксперимента вследствие наличия неуправляемых и неконтролируемых переменных.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имеет место первая или третья причина, значение фактора стабилизируется на определенном уровне, во втором случае ув</w:t>
      </w:r>
      <w:r>
        <w:rPr>
          <w:rFonts w:ascii="Times New Roman CYR" w:hAnsi="Times New Roman CYR" w:cs="Times New Roman CYR"/>
          <w:sz w:val="28"/>
          <w:szCs w:val="28"/>
        </w:rPr>
        <w:t>еличивают интервал варьирования. Если имеет место четвертая причина, следует принять меры к уменьшению ошибки эксперимента.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случае незначимость коэффициентов, оценивающих взаимодействие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12;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13;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23;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123), вызвана, вероятно, отсутствием этих эфф</w:t>
      </w:r>
      <w:r>
        <w:rPr>
          <w:rFonts w:ascii="Times New Roman CYR" w:hAnsi="Times New Roman CYR" w:cs="Times New Roman CYR"/>
          <w:sz w:val="28"/>
          <w:szCs w:val="28"/>
        </w:rPr>
        <w:t>ектов. В качестве величины, характеризующей вклад коэффициентов регрессии в уравнение, иногда используют множественный коэффициент корреляции R: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86100" cy="7334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(см. табл.3); 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(табл.4).Таблица 4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Σ(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yv</w:t>
      </w:r>
      <w:r>
        <w:rPr>
          <w:rFonts w:ascii="Calibri" w:hAnsi="Calibri" w:cs="Calibri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)2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1350"/>
        <w:gridCol w:w="1350"/>
        <w:gridCol w:w="1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№точки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F6CC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57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571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286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571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-</w:t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0975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759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7,33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-10,35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40,92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-8,44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 =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17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Σ=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327,7</w:t>
            </w:r>
          </w:p>
        </w:tc>
      </w:tr>
    </w:tbl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B17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Проведем оце</w:t>
      </w:r>
      <w:r>
        <w:rPr>
          <w:rFonts w:ascii="Times New Roman CYR" w:hAnsi="Times New Roman CYR" w:cs="Times New Roman CYR"/>
          <w:sz w:val="28"/>
          <w:szCs w:val="28"/>
        </w:rPr>
        <w:t>нку адекватности в нашем примере, пользуясь данными расчетной табл.3;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 нашем случае s2ад&lt;s2{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>} (35,2 &lt;44,50), то адекватность модели очевидна без расчета критерия Фишера. Если быв нашем случае оказались значимыми также и все коэффициенты при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одействиях и, следовательно, число коэффициентов модели было бы т=8, то тогда не оставалось бы ни одной степени свободы для оценки адекватности. Тогда можно было бы прибегнуть к использованию условия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0 - </w:t>
      </w:r>
      <w:r>
        <w:rPr>
          <w:rFonts w:ascii="Cambria" w:hAnsi="Cambria" w:cs="Cambria"/>
          <w:sz w:val="28"/>
          <w:szCs w:val="28"/>
        </w:rPr>
        <w:t>ӯ</w:t>
      </w:r>
      <w:r>
        <w:rPr>
          <w:rFonts w:ascii="Times New Roman CYR" w:hAnsi="Times New Roman CYR" w:cs="Times New Roman CYR"/>
          <w:sz w:val="28"/>
          <w:szCs w:val="28"/>
        </w:rPr>
        <w:t>0-&gt;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и таким обр</w:t>
      </w:r>
      <w:r>
        <w:rPr>
          <w:rFonts w:ascii="Times New Roman CYR" w:hAnsi="Times New Roman CYR" w:cs="Times New Roman CYR"/>
          <w:sz w:val="28"/>
          <w:szCs w:val="28"/>
        </w:rPr>
        <w:t>азом оценить значимость коэффициентов при членах второго порядка, а именно:</w:t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F6CC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098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B1759" w:rsidRDefault="000B17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величина меньше, чем ошибка эксперимента</w:t>
      </w:r>
      <w:r w:rsidR="008F6CC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85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из чего следует, что квадратичные эффекты пренебрежимо малы</w:t>
      </w:r>
      <w:r>
        <w:rPr>
          <w:rFonts w:ascii="Times New Roman CYR" w:hAnsi="Times New Roman CYR" w:cs="Times New Roman CYR"/>
          <w:sz w:val="28"/>
          <w:szCs w:val="28"/>
        </w:rPr>
        <w:t xml:space="preserve"> и поэтому линейную модель можно считать адекватной.</w:t>
      </w:r>
    </w:p>
    <w:sectPr w:rsidR="000B17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CD"/>
    <w:rsid w:val="000B1759"/>
    <w:rsid w:val="008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C4BE3-399E-4D9F-AB01-B97347DD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2025-02-19T08:58:00Z</dcterms:created>
  <dcterms:modified xsi:type="dcterms:W3CDTF">2025-02-19T08:58:00Z</dcterms:modified>
</cp:coreProperties>
</file>