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3883" w14:textId="77777777" w:rsidR="00000000" w:rsidRDefault="00A637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4C2ECE7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50748BD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237E46F0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Общие сведения о предохранителях</w:t>
      </w:r>
    </w:p>
    <w:p w14:paraId="3E743B95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Применения предохранителей</w:t>
      </w:r>
    </w:p>
    <w:p w14:paraId="0C1E872B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Основные требования, предъявляемые к плавким предохранителям</w:t>
      </w:r>
    </w:p>
    <w:p w14:paraId="0A342D67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Классификация</w:t>
      </w:r>
    </w:p>
    <w:p w14:paraId="0EBE856A" w14:textId="77777777" w:rsidR="00000000" w:rsidRDefault="00A63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используемых источников</w:t>
      </w:r>
    </w:p>
    <w:p w14:paraId="3E10E170" w14:textId="77777777" w:rsidR="00000000" w:rsidRDefault="00A6374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8A56CCA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4B58D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цель, поставленная в данной работе з</w:t>
      </w:r>
      <w:r>
        <w:rPr>
          <w:color w:val="000000"/>
          <w:sz w:val="28"/>
          <w:szCs w:val="28"/>
          <w:lang w:val="ru-RU"/>
        </w:rPr>
        <w:t>аключается в изучении предохранителей, их устройства, основных характеристик, требований предъявляемых к ним. Современный плавкий предохранитель представляет собой достаточно сложное электротепломеханическое устройство со стабильными характеристиками и сво</w:t>
      </w:r>
      <w:r>
        <w:rPr>
          <w:color w:val="000000"/>
          <w:sz w:val="28"/>
          <w:szCs w:val="28"/>
          <w:lang w:val="ru-RU"/>
        </w:rPr>
        <w:t>йствами, знание которых является необходимым условием успешного применения предохранителей и надежной защиты силовых систем в аварийных режимах.</w:t>
      </w:r>
    </w:p>
    <w:p w14:paraId="7E9B6F84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большую актуальность приобретает задача защиты устройств от перегрузок и токов короткого замыка</w:t>
      </w:r>
      <w:r>
        <w:rPr>
          <w:color w:val="000000"/>
          <w:sz w:val="28"/>
          <w:szCs w:val="28"/>
          <w:lang w:val="ru-RU"/>
        </w:rPr>
        <w:t>ния. Актуальность рассматриваемой темы состоит в том, что в последние годы существенно возрос уровень сложности силовых электронных устройств, применяемых на объектах транспорта, добывающих и перерабатывающих отраслей промышленности, в системах генерирован</w:t>
      </w:r>
      <w:r>
        <w:rPr>
          <w:color w:val="000000"/>
          <w:sz w:val="28"/>
          <w:szCs w:val="28"/>
          <w:lang w:val="ru-RU"/>
        </w:rPr>
        <w:t>ия и распределения электрической энергии. Одновременно с усложнением силовых устройств, увеличением их функциональности и улучшением экономичности, важным условием успешной работы таковых является надежная защита силовых полупроводниковых приборов, трансфо</w:t>
      </w:r>
      <w:r>
        <w:rPr>
          <w:color w:val="000000"/>
          <w:sz w:val="28"/>
          <w:szCs w:val="28"/>
          <w:lang w:val="ru-RU"/>
        </w:rPr>
        <w:t>рматоров, коммутирующих, фильтровых и накопительных конденсаторов, токоведущих устройств в условиях аварийных и перегрузочных режимах. Наиболее надежным средством защиты от экстратоков, которые в свою очередь являются одной из категории электрических авари</w:t>
      </w:r>
      <w:r>
        <w:rPr>
          <w:color w:val="000000"/>
          <w:sz w:val="28"/>
          <w:szCs w:val="28"/>
          <w:lang w:val="ru-RU"/>
        </w:rPr>
        <w:t>йных режимов, не зависящим от внешних условий, механического состояния и т.п., являются предохранители.</w:t>
      </w:r>
    </w:p>
    <w:p w14:paraId="2C12054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смотря на то, что плавкие предохранители как устройства защиты электрических цепей известны и применяются уже почти полторы сотни лет, ряд их характе</w:t>
      </w:r>
      <w:r>
        <w:rPr>
          <w:color w:val="000000"/>
          <w:sz w:val="28"/>
          <w:szCs w:val="28"/>
          <w:lang w:val="ru-RU"/>
        </w:rPr>
        <w:t>ристик остается непревзойденным другими системами токовой защиты.</w:t>
      </w:r>
    </w:p>
    <w:p w14:paraId="4A61450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0A27F15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Общие сведения о предохранителях</w:t>
      </w:r>
    </w:p>
    <w:p w14:paraId="44F1F210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E03AD0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Предохранитель - электрический аппарат, выполняющий защитную функцию. В цепи обозначается буквами "</w:t>
      </w:r>
      <w:r>
        <w:rPr>
          <w:color w:val="000000"/>
          <w:sz w:val="28"/>
          <w:szCs w:val="28"/>
          <w:lang w:val="en-US"/>
        </w:rPr>
        <w:t>FU</w:t>
      </w:r>
      <w:r>
        <w:rPr>
          <w:color w:val="000000"/>
          <w:sz w:val="28"/>
          <w:szCs w:val="28"/>
          <w:lang w:val="ru-RU"/>
        </w:rPr>
        <w:t xml:space="preserve">" (международное обозначение, от слова англ. </w:t>
      </w:r>
      <w:r>
        <w:rPr>
          <w:color w:val="000000"/>
          <w:sz w:val="28"/>
          <w:szCs w:val="28"/>
          <w:lang w:val="en-US"/>
        </w:rPr>
        <w:t>Fuse</w:t>
      </w: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или прямоугольником со сплошной линией в центре. Обычно предохранители бывают плавкими. </w:t>
      </w:r>
      <w:r>
        <w:rPr>
          <w:b/>
          <w:bCs/>
          <w:color w:val="000000"/>
          <w:sz w:val="28"/>
          <w:szCs w:val="28"/>
          <w:lang w:val="ru-RU"/>
        </w:rPr>
        <w:t xml:space="preserve">Плавкие предохранители - </w:t>
      </w:r>
      <w:r>
        <w:rPr>
          <w:color w:val="000000"/>
          <w:sz w:val="28"/>
          <w:szCs w:val="28"/>
          <w:lang w:val="ru-RU"/>
        </w:rPr>
        <w:t>это электрические аппараты, защищающие установки от перегрузок и токов короткого замыкания.</w:t>
      </w:r>
    </w:p>
    <w:p w14:paraId="053CFFB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Плавкий предохранитель обычно представляет из себя</w:t>
      </w:r>
      <w:r>
        <w:rPr>
          <w:color w:val="000000"/>
          <w:sz w:val="28"/>
          <w:szCs w:val="28"/>
          <w:lang w:val="ru-RU"/>
        </w:rPr>
        <w:t xml:space="preserve"> стеклянную или фарфоровую оболочку, на основаниях которой располагаются контакты, а внутри находится тонкий проводник из относительно легкоплавкого металла. Определённой силе тока срабатывания соответствует определённое поперечное сечение проводника. Если</w:t>
      </w:r>
      <w:r>
        <w:rPr>
          <w:color w:val="000000"/>
          <w:sz w:val="28"/>
          <w:szCs w:val="28"/>
          <w:lang w:val="ru-RU"/>
        </w:rPr>
        <w:t xml:space="preserve"> сила тока в цепи превысит максимально допустимое значение, то легкоплавкий проводник перегревается и расплавляется. Основными элементами предохранителя являются плавкая вставка, включаемая в рассечку защищаемой цепи, и дугогасительное устройство, гасящее </w:t>
      </w:r>
      <w:r>
        <w:rPr>
          <w:color w:val="000000"/>
          <w:sz w:val="28"/>
          <w:szCs w:val="28"/>
          <w:lang w:val="ru-RU"/>
        </w:rPr>
        <w:t>дугу, возникающую после плавления вставки. [3]</w:t>
      </w:r>
    </w:p>
    <w:p w14:paraId="102B44F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01424B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Применения предохранителей</w:t>
      </w:r>
    </w:p>
    <w:p w14:paraId="3659288A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750230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Предохранители являются защитными аппаратами. Они применяются для защиты от токов КЗ и перегрузок как низковольтных так и высоковольтных электрических цепей.</w:t>
      </w:r>
    </w:p>
    <w:p w14:paraId="44E1ACE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Широкое распростран</w:t>
      </w:r>
      <w:r>
        <w:rPr>
          <w:color w:val="000000"/>
          <w:sz w:val="28"/>
          <w:szCs w:val="28"/>
          <w:lang w:val="ru-RU"/>
        </w:rPr>
        <w:t>ение получили пробочные и трубчатые предохранители напряжением до 1000 В типов ПР-2, ПН-2, НПН (трубчатые) и ПРС (пробочные). Пробочные предохранители применяются для защиты маломощных цепей электрического освещения, отопления, электродвигателей и др.</w:t>
      </w:r>
    </w:p>
    <w:p w14:paraId="20B3D07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526E28" w14:textId="483EE8CD" w:rsidR="00000000" w:rsidRDefault="001364D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C5530A" wp14:editId="00654619">
            <wp:extent cx="264795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BC1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- предохранители типа ПР-2; б - типа ПН-2; в - внутреннее устройство ПН-2 Трубчатые предохранители без наполнителя типа ПР-2 (рис. 1 а) являются разборными. </w:t>
      </w:r>
    </w:p>
    <w:p w14:paraId="3D3483B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AECB25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Патроны этих предохранителей 5 выполняются из толстостенной </w:t>
      </w:r>
      <w:r>
        <w:rPr>
          <w:color w:val="000000"/>
          <w:sz w:val="28"/>
          <w:szCs w:val="28"/>
          <w:lang w:val="ru-RU"/>
        </w:rPr>
        <w:t>фибровой трубки, на концы которой насажены латунные обоймы с резьбой для предотвращения ее разрыва. Резьба служит для завинчивания колпачков 9, обеспечивающих герметизацию предохранителя. Плавкая вставка 6 крепится винтами к контактным ножам 4. У предохран</w:t>
      </w:r>
      <w:r>
        <w:rPr>
          <w:color w:val="000000"/>
          <w:sz w:val="28"/>
          <w:szCs w:val="28"/>
          <w:lang w:val="ru-RU"/>
        </w:rPr>
        <w:t xml:space="preserve">ителей на токи До 60 А контактных ножей нет, их заменяют колпачки, которые при завинчивании прижимают плавкую вставку к специальной шайбе, чем обеспечивается ее крепление и хороший контакт. Предохранитель вставляется ножами в контактные стойки 3. Давление </w:t>
      </w:r>
      <w:r>
        <w:rPr>
          <w:color w:val="000000"/>
          <w:sz w:val="28"/>
          <w:szCs w:val="28"/>
          <w:lang w:val="ru-RU"/>
        </w:rPr>
        <w:t>в контактном соединении обеспечивается стальными пружинами 2. Болты 1 служат для присоединения проводников. Плавкая вставка б изготовляется из листового цинка, стойкого против коррозии, в виде пластины с вырезами, уменьшающими сечение в определенных местах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lastRenderedPageBreak/>
        <w:t>где происходит ее перегорание. При появлении электрической дуги фибровая трубка выделяет газы, деионизирующие дугу и создающие в патроне давление, что способствует эффективному гашению дуги.</w:t>
      </w:r>
    </w:p>
    <w:p w14:paraId="26B409F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Предохранители разборные с наполнителем типа ПН-2 предназначают</w:t>
      </w:r>
      <w:r>
        <w:rPr>
          <w:color w:val="000000"/>
          <w:sz w:val="28"/>
          <w:szCs w:val="28"/>
          <w:lang w:val="ru-RU"/>
        </w:rPr>
        <w:t>ся для защиты цепей напряжением 380 В переменного и 220 В постоянного тока (рис. 1 б). Контактные стойки 3 своими основаниями 1 с зажимами для крепления проводов устанавливаются на изоляционной плите. Предохранитель контактными ножами 4 вставляется в стойк</w:t>
      </w:r>
      <w:r>
        <w:rPr>
          <w:color w:val="000000"/>
          <w:sz w:val="28"/>
          <w:szCs w:val="28"/>
          <w:lang w:val="ru-RU"/>
        </w:rPr>
        <w:t>и 3. Пружины 2 обеспечивают необходимое контактное нажатие. Выступы 7 служат для снятия предохранителя под напряжением с помощью специальной изоляционной рукоятки 8 с вырезами для захвата выступов 7 предохранителя.</w:t>
      </w:r>
    </w:p>
    <w:p w14:paraId="63EFBD38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Наполнителем в предохранителя служит квар</w:t>
      </w:r>
      <w:r>
        <w:rPr>
          <w:color w:val="000000"/>
          <w:sz w:val="28"/>
          <w:szCs w:val="28"/>
          <w:lang w:val="ru-RU"/>
        </w:rPr>
        <w:t>цевый песок. Он хорошо поглощает тепло, охлаждает газы, в результате чего дуга деионизируется и гасится настолько быстро, что ток не успевает достигнуть максимального значения, которое имело бы место в защищаемой цепи при отсутствии в ней такого предохрани</w:t>
      </w:r>
      <w:r>
        <w:rPr>
          <w:color w:val="000000"/>
          <w:sz w:val="28"/>
          <w:szCs w:val="28"/>
          <w:lang w:val="ru-RU"/>
        </w:rPr>
        <w:t>теля. Предохранители с наполнителем обладают токоограничивающим свойством и имеют меньшее время отключения цепи, чем трубчатые без наполнителя.</w:t>
      </w:r>
    </w:p>
    <w:p w14:paraId="7F3B01C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рис., в показано внутреннее устройство предохранителя ПН-2. Фарфоровая трубка 7, квадратная снаружи и круглая</w:t>
      </w:r>
      <w:r>
        <w:rPr>
          <w:color w:val="000000"/>
          <w:sz w:val="28"/>
          <w:szCs w:val="28"/>
          <w:lang w:val="ru-RU"/>
        </w:rPr>
        <w:t xml:space="preserve"> внутри, имеет по углам четыре резьбовые отверстия, в которые ввинчиваются винты 3, крепящие пластинки 4. К этим пластинам винтами 2 присоединены диски 5 с приваренными с одной стороны медными плавкими вставками 6, а с другой - ножами 1. Для увеличения кон</w:t>
      </w:r>
      <w:r>
        <w:rPr>
          <w:color w:val="000000"/>
          <w:sz w:val="28"/>
          <w:szCs w:val="28"/>
          <w:lang w:val="ru-RU"/>
        </w:rPr>
        <w:t>тактного нажатия контактных стоек 8 на ножи служат стальные кольца 9. Плавкая вставка имеет прямоугольную форму с продольными вырезами, уменьшающими ее сечение. В местах сужения напаяны оловянные шарики, которые, расплавляясь, играют роль растворителя меди</w:t>
      </w:r>
      <w:r>
        <w:rPr>
          <w:color w:val="000000"/>
          <w:sz w:val="28"/>
          <w:szCs w:val="28"/>
          <w:lang w:val="ru-RU"/>
        </w:rPr>
        <w:t xml:space="preserve">, имеющей высокую температуру плавления (1080°). При расплавлении плавкой </w:t>
      </w:r>
      <w:r>
        <w:rPr>
          <w:color w:val="000000"/>
          <w:sz w:val="28"/>
          <w:szCs w:val="28"/>
          <w:lang w:val="ru-RU"/>
        </w:rPr>
        <w:lastRenderedPageBreak/>
        <w:t>вставки дуга горит в узком канале, образованном ее испарившимся телом, энергично охлаждается кварцевыми песчинками и деионизируется на их поверхности. Перегоревшую плавкую вставку за</w:t>
      </w:r>
      <w:r>
        <w:rPr>
          <w:color w:val="000000"/>
          <w:sz w:val="28"/>
          <w:szCs w:val="28"/>
          <w:lang w:val="ru-RU"/>
        </w:rPr>
        <w:t>меняют новой. Использованный кварцевый песок можно оставить, если он не спекся и не отсырел. При сборке предохранителя после замены плавкой вставки необходимо обеспечить герметичность, чтобы в него не мог проникнуть влажный воздух. Предохранитель НП-2 можн</w:t>
      </w:r>
      <w:r>
        <w:rPr>
          <w:color w:val="000000"/>
          <w:sz w:val="28"/>
          <w:szCs w:val="28"/>
          <w:lang w:val="ru-RU"/>
        </w:rPr>
        <w:t>о перезаряжать многократно.</w:t>
      </w:r>
    </w:p>
    <w:p w14:paraId="15C039D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Насыпные неразборные предохранители типа НПН-2 однократного действия применяются в электрических цепях, где перегрузки и КЗ крайне редки.</w:t>
      </w:r>
    </w:p>
    <w:p w14:paraId="0A779B0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электроустановках напряжением от 6 до 35 кВ нашли применение предохранители типов ПК вну</w:t>
      </w:r>
      <w:r>
        <w:rPr>
          <w:color w:val="000000"/>
          <w:sz w:val="28"/>
          <w:szCs w:val="28"/>
          <w:lang w:val="ru-RU"/>
        </w:rPr>
        <w:t>тренней и ПКН наружной установки с кварцевым заполнением для защиты силовых цепей; ПКТ - для защиты трансформаторов напряжения внутри помещения и ПКТН - снаружи.</w:t>
      </w:r>
    </w:p>
    <w:p w14:paraId="29838F5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2006F4" w14:textId="014B2CF3" w:rsidR="00000000" w:rsidRDefault="001364D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0F7F7F" wp14:editId="55498A4A">
            <wp:extent cx="18383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74E">
        <w:rPr>
          <w:color w:val="000000"/>
          <w:sz w:val="28"/>
          <w:szCs w:val="28"/>
          <w:lang w:val="ru-RU"/>
        </w:rPr>
        <w:t xml:space="preserve"> </w:t>
      </w:r>
    </w:p>
    <w:p w14:paraId="62B79781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2. Предохранитель типа ПК-10 Предохранитель ПК-10 </w:t>
      </w:r>
      <w:r>
        <w:rPr>
          <w:color w:val="000000"/>
          <w:sz w:val="28"/>
          <w:szCs w:val="28"/>
          <w:lang w:val="ru-RU"/>
        </w:rPr>
        <w:t>на напряжение 10 кВ (рис. 2) смонтирован на основании 7, к которому крепятся два опорных изолятора 1. На изоляторах закреплены контактные губки 4 с упорами 3. В губках устанавливается фарфоровый или стеклянный патрон 6, фиксируемый замком 5. Зажимы 2 служа</w:t>
      </w:r>
      <w:r>
        <w:rPr>
          <w:color w:val="000000"/>
          <w:sz w:val="28"/>
          <w:szCs w:val="28"/>
          <w:lang w:val="ru-RU"/>
        </w:rPr>
        <w:t>т для присоединения проводов электрической цепи, в которую включается предохранитель.</w:t>
      </w:r>
    </w:p>
    <w:p w14:paraId="383C1A0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BFB3D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Патрон предохранителя 10 (рис.2, б и в) имеет на концах латунные колпачки 9. Он заполнен чистым кварцевый песком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  <w:lang w:val="ru-RU"/>
        </w:rPr>
        <w:t>, который охватывает плавкую вставку 11 из одной или н</w:t>
      </w:r>
      <w:r>
        <w:rPr>
          <w:color w:val="000000"/>
          <w:sz w:val="28"/>
          <w:szCs w:val="28"/>
          <w:lang w:val="ru-RU"/>
        </w:rPr>
        <w:t>ескольких медных проволок, намотанных на керамическое ребристое основание 14 (для предохранителей на ток до 7,5 А на рис.24,6) или выполненных в виде спиралей 12 (для предохранителей на ток выше 7,5 А на рис.24, в). На спиральные плавкие вставки напаиваютс</w:t>
      </w:r>
      <w:r>
        <w:rPr>
          <w:color w:val="000000"/>
          <w:sz w:val="28"/>
          <w:szCs w:val="28"/>
          <w:lang w:val="ru-RU"/>
        </w:rPr>
        <w:t>я оловянные шарики. При нагреве проволоки до температуры плавления олова (232°С) начинается растворение меди проволок в олове и происходит срабатывание предохранителя, которое фиксируется указателем 16. Указательная спираль 15 перегорает вслед за плавкой в</w:t>
      </w:r>
      <w:r>
        <w:rPr>
          <w:color w:val="000000"/>
          <w:sz w:val="28"/>
          <w:szCs w:val="28"/>
          <w:lang w:val="ru-RU"/>
        </w:rPr>
        <w:t>ставкой, указатель 16 выталкивается пружиной наружу, сигнализируя о перегорании предохранителя. Крышка 8 герметически запаивается.</w:t>
      </w:r>
    </w:p>
    <w:p w14:paraId="79643B5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Патрон предохранителя ПКТ отличается тем, что имеет плавкую вставку из одной константановой проволоки, намотанной на керамиче</w:t>
      </w:r>
      <w:r>
        <w:rPr>
          <w:color w:val="000000"/>
          <w:sz w:val="28"/>
          <w:szCs w:val="28"/>
          <w:lang w:val="ru-RU"/>
        </w:rPr>
        <w:t>ское основание, и не имеет указателя срабатывания. Перегорание плавкой вставки ПКТ определяется по приборам, подключенным ко вторичной обмотке защищаемого трансформатора напряжения. Благодаря малому сечению плавкой вставки предохранители ПКТ обладают значи</w:t>
      </w:r>
      <w:r>
        <w:rPr>
          <w:color w:val="000000"/>
          <w:sz w:val="28"/>
          <w:szCs w:val="28"/>
          <w:lang w:val="ru-RU"/>
        </w:rPr>
        <w:t>тельным токоограничивающим эффектом и способны отключать токи КЗ в цепях, где мощность КЗ достигает 1000 МВА.</w:t>
      </w:r>
    </w:p>
    <w:p w14:paraId="1546586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6B9ED0A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Основные требования, предъявляемые к плавким предохранителям</w:t>
      </w:r>
    </w:p>
    <w:p w14:paraId="65C7640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54969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предохранителям предъявляются следующие требования:</w:t>
      </w:r>
    </w:p>
    <w:p w14:paraId="2121EDFB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Времятоковая характерист</w:t>
      </w:r>
      <w:r>
        <w:rPr>
          <w:color w:val="000000"/>
          <w:sz w:val="28"/>
          <w:szCs w:val="28"/>
          <w:lang w:val="ru-RU"/>
        </w:rPr>
        <w:t>ика предохранителя должна проходить ниже, но возможно ближе к времятоковой характеристике защищаемого объекта.</w:t>
      </w:r>
    </w:p>
    <w:p w14:paraId="2DB388D5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5B951444" w14:textId="77777777" w:rsidR="00000000" w:rsidRDefault="00A6374E">
      <w:pPr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lastRenderedPageBreak/>
        <w:t>предохранитель устройство плавкий ток</w:t>
      </w:r>
    </w:p>
    <w:p w14:paraId="01375A16" w14:textId="451F263D" w:rsidR="00000000" w:rsidRDefault="001364D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9B154F" wp14:editId="73C419D0">
            <wp:extent cx="3476625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A840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3. Согласование характеристик предохранителя и защищаемого об</w:t>
      </w:r>
      <w:r>
        <w:rPr>
          <w:color w:val="000000"/>
          <w:sz w:val="28"/>
          <w:szCs w:val="28"/>
          <w:lang w:val="ru-RU"/>
        </w:rPr>
        <w:t>ъекта</w:t>
      </w:r>
    </w:p>
    <w:p w14:paraId="464E8A2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17A701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коротком замыкании предохранители должны работать селективно.</w:t>
      </w:r>
    </w:p>
    <w:p w14:paraId="7C6EB637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 xml:space="preserve">Время срабатывания предохранителя при коротком замыкании должно быть минимально возможным, особенно при защите полупроводниковых приборов. </w:t>
      </w:r>
      <w:r>
        <w:rPr>
          <w:color w:val="000000"/>
          <w:sz w:val="28"/>
          <w:szCs w:val="28"/>
          <w:lang w:val="en-US"/>
        </w:rPr>
        <w:t>Предохранители должны работать с токоо</w:t>
      </w:r>
      <w:r>
        <w:rPr>
          <w:color w:val="000000"/>
          <w:sz w:val="28"/>
          <w:szCs w:val="28"/>
          <w:lang w:val="en-US"/>
        </w:rPr>
        <w:t>граничением.</w:t>
      </w:r>
    </w:p>
    <w:p w14:paraId="3E51488D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Характеристики предохранителя должны быть стабильными. Разброс параметров из-за производственных отклонений не должен нарушать защитные свойства предохранителя.</w:t>
      </w:r>
    </w:p>
    <w:p w14:paraId="4F592AB4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связи с возросшей мощностью установок предохранители должны иметь высокую о</w:t>
      </w:r>
      <w:r>
        <w:rPr>
          <w:color w:val="000000"/>
          <w:sz w:val="28"/>
          <w:szCs w:val="28"/>
          <w:lang w:val="ru-RU"/>
        </w:rPr>
        <w:t>тключающую способность.</w:t>
      </w:r>
    </w:p>
    <w:p w14:paraId="2AC8214B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Замена сгоревшего предохранителя или плавкой вставки не должна требовать много времени.</w:t>
      </w:r>
    </w:p>
    <w:p w14:paraId="5AB21548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E75F97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Классификация</w:t>
      </w:r>
    </w:p>
    <w:p w14:paraId="534B2E66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3FD35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ГОСТ 17242-86</w:t>
      </w:r>
      <w:r>
        <w:rPr>
          <w:b/>
          <w:bCs/>
          <w:color w:val="000000"/>
          <w:sz w:val="28"/>
          <w:szCs w:val="28"/>
          <w:lang w:val="ru-RU"/>
        </w:rPr>
        <w:t xml:space="preserve"> ПРЕДОХРАНИТЕЛИ ПЛАВКИЕ СИЛОВЫЕ НИЗКОВОЛЬТНЫЕ ОБЩИЕ ТЕХНИЧЕСКИЕ УСЛОВИЯ</w:t>
      </w:r>
    </w:p>
    <w:p w14:paraId="599BE46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 Предохранители подразделяют:</w:t>
      </w:r>
    </w:p>
    <w:p w14:paraId="4C974DC4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ви</w:t>
      </w:r>
      <w:r>
        <w:rPr>
          <w:color w:val="000000"/>
          <w:sz w:val="28"/>
          <w:szCs w:val="28"/>
          <w:lang w:val="ru-RU"/>
        </w:rPr>
        <w:t>ду плавких вставок в зависимости от диапазона токов отключения на типы:</w:t>
      </w:r>
    </w:p>
    <w:p w14:paraId="638F3111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- с отключающей способностью в полном диапазоне токов отключения;</w:t>
      </w:r>
    </w:p>
    <w:p w14:paraId="075A435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- с отключающей способностью в части диапазона токов отключения;</w:t>
      </w:r>
    </w:p>
    <w:p w14:paraId="2CD695E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виду плавких вставок в зависимости от быстроде</w:t>
      </w:r>
      <w:r>
        <w:rPr>
          <w:color w:val="000000"/>
          <w:sz w:val="28"/>
          <w:szCs w:val="28"/>
          <w:lang w:val="ru-RU"/>
        </w:rPr>
        <w:t>йствия:</w:t>
      </w:r>
    </w:p>
    <w:p w14:paraId="3F42BB2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небыстродействующие (типы а 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);</w:t>
      </w:r>
    </w:p>
    <w:p w14:paraId="7E13A6E1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быстродействующие (типы </w:t>
      </w:r>
      <w:r>
        <w:rPr>
          <w:color w:val="000000"/>
          <w:sz w:val="28"/>
          <w:szCs w:val="28"/>
          <w:lang w:val="en-US"/>
        </w:rPr>
        <w:t>aR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gR</w:t>
      </w:r>
      <w:r>
        <w:rPr>
          <w:color w:val="000000"/>
          <w:sz w:val="28"/>
          <w:szCs w:val="28"/>
          <w:lang w:val="ru-RU"/>
        </w:rPr>
        <w:t>);</w:t>
      </w:r>
    </w:p>
    <w:p w14:paraId="52F5F76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наличию и конструкции основания:</w:t>
      </w:r>
    </w:p>
    <w:p w14:paraId="4121196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калиброванным основанием;</w:t>
      </w:r>
    </w:p>
    <w:p w14:paraId="2DD7C52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некалиброванным основанием;</w:t>
      </w:r>
    </w:p>
    <w:p w14:paraId="49B443D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основания;</w:t>
      </w:r>
    </w:p>
    <w:p w14:paraId="239C3A1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способу монтажа:</w:t>
      </w:r>
    </w:p>
    <w:p w14:paraId="3B6C94A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собственном основании;</w:t>
      </w:r>
    </w:p>
    <w:p w14:paraId="4F8F11B9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основаниях комплектных</w:t>
      </w:r>
      <w:r>
        <w:rPr>
          <w:color w:val="000000"/>
          <w:sz w:val="28"/>
          <w:szCs w:val="28"/>
          <w:lang w:val="ru-RU"/>
        </w:rPr>
        <w:t xml:space="preserve"> устройств;</w:t>
      </w:r>
    </w:p>
    <w:p w14:paraId="3EA7BE40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проводниках комплектных устройств;</w:t>
      </w:r>
    </w:p>
    <w:p w14:paraId="443A612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способу присоединения внешних проводников к выводам предохранителя:</w:t>
      </w:r>
    </w:p>
    <w:p w14:paraId="0EAD44E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задним присоединением;</w:t>
      </w:r>
    </w:p>
    <w:p w14:paraId="2839D6F8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передним присоединением;</w:t>
      </w:r>
    </w:p>
    <w:p w14:paraId="4DF8BBA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передним и задним (универсальным) присоединением;</w:t>
      </w:r>
    </w:p>
    <w:p w14:paraId="5A434A5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конструкции плавкой вставки</w:t>
      </w:r>
      <w:r>
        <w:rPr>
          <w:color w:val="000000"/>
          <w:sz w:val="28"/>
          <w:szCs w:val="28"/>
          <w:lang w:val="ru-RU"/>
        </w:rPr>
        <w:t>:</w:t>
      </w:r>
    </w:p>
    <w:p w14:paraId="628885B5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разборной плавкой вставкой (со сменными плавкими элементами);</w:t>
      </w:r>
    </w:p>
    <w:p w14:paraId="2A7E6C3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неразборной плавкой вставкой (с несменными плавкими элементами);</w:t>
      </w:r>
    </w:p>
    <w:p w14:paraId="4F0B20D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наличию указателя срабатывания и бойка:</w:t>
      </w:r>
    </w:p>
    <w:p w14:paraId="78F70F1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указателем срабатывания и бойком;</w:t>
      </w:r>
    </w:p>
    <w:p w14:paraId="390C1B9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 указателем срабатывания;</w:t>
      </w:r>
    </w:p>
    <w:p w14:paraId="208C198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бойком;</w:t>
      </w:r>
    </w:p>
    <w:p w14:paraId="39BCDC9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ука</w:t>
      </w:r>
      <w:r>
        <w:rPr>
          <w:color w:val="000000"/>
          <w:sz w:val="28"/>
          <w:szCs w:val="28"/>
          <w:lang w:val="ru-RU"/>
        </w:rPr>
        <w:t>зателя срабатывания и бойка;</w:t>
      </w:r>
    </w:p>
    <w:p w14:paraId="1D674055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наличию свободных контактов:</w:t>
      </w:r>
    </w:p>
    <w:p w14:paraId="1D1BCE8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свободными контактами;</w:t>
      </w:r>
    </w:p>
    <w:p w14:paraId="4ECFD09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свободных контактов;</w:t>
      </w:r>
    </w:p>
    <w:p w14:paraId="1582E54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количеству полюсов:</w:t>
      </w:r>
    </w:p>
    <w:p w14:paraId="59A20717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однополюсные;</w:t>
      </w:r>
    </w:p>
    <w:p w14:paraId="37F6EFB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двухполюсные;</w:t>
      </w:r>
    </w:p>
    <w:p w14:paraId="1756608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трехполюсные.</w:t>
      </w:r>
    </w:p>
    <w:p w14:paraId="67C2AF60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ПАРАМЕТРЫ</w:t>
      </w:r>
    </w:p>
    <w:p w14:paraId="32CEF1E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Номинальное напряжение предохранителей с плавкими вставка</w:t>
      </w:r>
      <w:r>
        <w:rPr>
          <w:color w:val="000000"/>
          <w:sz w:val="28"/>
          <w:szCs w:val="28"/>
          <w:lang w:val="ru-RU"/>
        </w:rPr>
        <w:t xml:space="preserve">ми типов а 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следует выбирать из ряда:</w:t>
      </w:r>
    </w:p>
    <w:p w14:paraId="4822362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220, 440 В - для постоянного тока;</w:t>
      </w:r>
    </w:p>
    <w:p w14:paraId="63855CB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380, 660 В - для переменного тока.</w:t>
      </w:r>
    </w:p>
    <w:p w14:paraId="0E421EA4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Номинальное напряжение предохранителей с плавкими вставками типов </w:t>
      </w:r>
      <w:r>
        <w:rPr>
          <w:color w:val="000000"/>
          <w:sz w:val="28"/>
          <w:szCs w:val="28"/>
          <w:lang w:val="en-US"/>
        </w:rPr>
        <w:t>aR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giR</w:t>
      </w:r>
      <w:r>
        <w:rPr>
          <w:color w:val="000000"/>
          <w:sz w:val="28"/>
          <w:szCs w:val="28"/>
          <w:lang w:val="ru-RU"/>
        </w:rPr>
        <w:t xml:space="preserve"> следует выбирать из ряда:</w:t>
      </w:r>
    </w:p>
    <w:p w14:paraId="199E245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220, 345, 440, 600, 750, 1000, 1200, 1</w:t>
      </w:r>
      <w:r>
        <w:rPr>
          <w:color w:val="000000"/>
          <w:sz w:val="28"/>
          <w:szCs w:val="28"/>
          <w:lang w:val="ru-RU"/>
        </w:rPr>
        <w:t>500, 2400, 3000 В - для постоянного тока;</w:t>
      </w:r>
    </w:p>
    <w:p w14:paraId="62E5D2C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380, 500, 660, 800, 1000, 1250, 1600, 2000, 3000 В - для переменного тока.</w:t>
      </w:r>
    </w:p>
    <w:p w14:paraId="25D3478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Номинальное напряжение свободных контактов следует выбирать из ряда:</w:t>
      </w:r>
    </w:p>
    <w:p w14:paraId="356CB55B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220 В - для постоянного тока;</w:t>
      </w:r>
    </w:p>
    <w:p w14:paraId="26762253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380 В - для переменного тока.</w:t>
      </w:r>
    </w:p>
    <w:p w14:paraId="1D0FA1D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>инальное напряжение предохранителя представляет собой наименьшее значение из номинальных напряжений его частей: держателя предохранителя и плавкой вставки.</w:t>
      </w:r>
    </w:p>
    <w:p w14:paraId="7BBFBCB1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Номинальное напряжение предохранителя следует выражать:</w:t>
      </w:r>
    </w:p>
    <w:p w14:paraId="05B6D67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переменном токе - действующим значением </w:t>
      </w:r>
      <w:r>
        <w:rPr>
          <w:color w:val="000000"/>
          <w:sz w:val="28"/>
          <w:szCs w:val="28"/>
          <w:lang w:val="ru-RU"/>
        </w:rPr>
        <w:t xml:space="preserve">периодической </w:t>
      </w:r>
      <w:r>
        <w:rPr>
          <w:color w:val="000000"/>
          <w:sz w:val="28"/>
          <w:szCs w:val="28"/>
          <w:lang w:val="ru-RU"/>
        </w:rPr>
        <w:lastRenderedPageBreak/>
        <w:t>составляющей тока синусоидальной формы номинальной частоты;</w:t>
      </w:r>
    </w:p>
    <w:p w14:paraId="524EC9AE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постоянном токе при наличии пульсации - средним значением.</w:t>
      </w:r>
    </w:p>
    <w:p w14:paraId="339BFD5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Номинальная частота предохранителей должна соответствовать ГОСТ 6697-83.</w:t>
      </w:r>
    </w:p>
    <w:p w14:paraId="0253BADF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Номинальный ток предохранителей при верх</w:t>
      </w:r>
      <w:r>
        <w:rPr>
          <w:color w:val="000000"/>
          <w:sz w:val="28"/>
          <w:szCs w:val="28"/>
          <w:lang w:val="ru-RU"/>
        </w:rPr>
        <w:t>нем рабочем значении температуры воздуха должен соответствовать ГОСТ 6827-76.</w:t>
      </w:r>
    </w:p>
    <w:p w14:paraId="6134A792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Номинальные токи следует выбирать из ряда:</w:t>
      </w:r>
    </w:p>
    <w:p w14:paraId="3C0D6C7A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; 25; 31,5; 63; 100; 160; 250; 400; 630; 800; 1000; 1250; 1600; 2000; 2500 А - для держателей (или оснований) предохранителя;</w:t>
      </w:r>
    </w:p>
    <w:p w14:paraId="6A074608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; 4; 6,3;</w:t>
      </w:r>
      <w:r>
        <w:rPr>
          <w:color w:val="000000"/>
          <w:sz w:val="28"/>
          <w:szCs w:val="28"/>
          <w:lang w:val="ru-RU"/>
        </w:rPr>
        <w:t xml:space="preserve"> 10; 16; 20; 25; 31,5; 40; 50; 63; 80; 100; 125; 160; 200; 250; 315; 400; 500; 630; 800; 1000; 1250; 1600; 2000; 2500 А - для плавких вставок.</w:t>
      </w:r>
    </w:p>
    <w:p w14:paraId="3416863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Номинальный ток предохранителя определяется номинальным током установленной в нем плавкой вставки.</w:t>
      </w:r>
    </w:p>
    <w:p w14:paraId="5F278F45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Номинальный то</w:t>
      </w:r>
      <w:r>
        <w:rPr>
          <w:color w:val="000000"/>
          <w:sz w:val="28"/>
          <w:szCs w:val="28"/>
          <w:lang w:val="ru-RU"/>
        </w:rPr>
        <w:t>к предохранителя, плавкой вставки и держателя предохранителя следует выражать:</w:t>
      </w:r>
    </w:p>
    <w:p w14:paraId="0BB0391D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переменном токе - действующим значением периодической составляющей тока синусоидальной формы номинальной частоты;</w:t>
      </w:r>
    </w:p>
    <w:p w14:paraId="028BC85C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постоянном токе при наличии пульсации - средним значени</w:t>
      </w:r>
      <w:r>
        <w:rPr>
          <w:color w:val="000000"/>
          <w:sz w:val="28"/>
          <w:szCs w:val="28"/>
          <w:lang w:val="ru-RU"/>
        </w:rPr>
        <w:t>ем.</w:t>
      </w:r>
    </w:p>
    <w:p w14:paraId="47921516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Номинальный ток держателя (или основания) предохранителя представляет собой наибольший номинальный ток плавкой вставки, которая предназначена для использования в нем.</w:t>
      </w:r>
    </w:p>
    <w:p w14:paraId="4A3FD884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Условное обозначение серий и типов предохранителей должны быть установлено в станд</w:t>
      </w:r>
      <w:r>
        <w:rPr>
          <w:color w:val="000000"/>
          <w:sz w:val="28"/>
          <w:szCs w:val="28"/>
          <w:lang w:val="ru-RU"/>
        </w:rPr>
        <w:t>артах или технических условиях на конкретные серии и типы предохранителей.</w:t>
      </w:r>
    </w:p>
    <w:p w14:paraId="0E622389" w14:textId="77777777" w:rsidR="00000000" w:rsidRDefault="00A63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.5 Пример записи условного обозначения предохранителей при заказе и в документации другого изделия должен быть установлен в стандартах или технических условиях на предохранители кон</w:t>
      </w:r>
      <w:r>
        <w:rPr>
          <w:color w:val="000000"/>
          <w:sz w:val="28"/>
          <w:szCs w:val="28"/>
          <w:lang w:val="ru-RU"/>
        </w:rPr>
        <w:t>кретных серий и типов.</w:t>
      </w:r>
    </w:p>
    <w:p w14:paraId="65FA019B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ГОСТ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2213-79</w:t>
      </w:r>
      <w:r>
        <w:rPr>
          <w:color w:val="000000"/>
          <w:sz w:val="28"/>
          <w:szCs w:val="28"/>
          <w:lang w:val="ru-RU"/>
        </w:rPr>
        <w:t xml:space="preserve"> ПРЕДОХРАНИТЕЛИ ПЕРЕМЕННОГО ТОКА НА </w:t>
      </w:r>
      <w:r>
        <w:rPr>
          <w:color w:val="000000"/>
          <w:sz w:val="28"/>
          <w:szCs w:val="28"/>
          <w:lang w:val="ru-RU"/>
        </w:rPr>
        <w:lastRenderedPageBreak/>
        <w:t>НАПРЯЖЕНИЕ 3 кВ И ВЫШЕ ОБЩИЕ ТЕХНИЧЕСКИЕ УСЛОВИЯ</w:t>
      </w:r>
    </w:p>
    <w:p w14:paraId="431C720C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КЛАССИФИКАЦИЯ</w:t>
      </w:r>
    </w:p>
    <w:p w14:paraId="35500EED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Предохранители подразделяются по нижеследующим основным признакам.</w:t>
      </w:r>
    </w:p>
    <w:p w14:paraId="5B59686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.1.1 По роду установки:</w:t>
      </w:r>
    </w:p>
    <w:p w14:paraId="1006E3C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работы в помещениях (к</w:t>
      </w:r>
      <w:r>
        <w:rPr>
          <w:color w:val="000000"/>
          <w:sz w:val="28"/>
          <w:szCs w:val="28"/>
          <w:lang w:val="ru-RU"/>
        </w:rPr>
        <w:t>атегории размещения 3 и 4*);</w:t>
      </w:r>
    </w:p>
    <w:p w14:paraId="735D112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работы на открытом воздухе (категория размещения 1*);</w:t>
      </w:r>
    </w:p>
    <w:p w14:paraId="5467C010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работы в металлических оболочках комплектных распределительных устройств (КРУ), устанавливаемых в помещениях (категории размещения 3 и 4*) и на открытом воздухе (кат</w:t>
      </w:r>
      <w:r>
        <w:rPr>
          <w:color w:val="000000"/>
          <w:sz w:val="28"/>
          <w:szCs w:val="28"/>
          <w:lang w:val="ru-RU"/>
        </w:rPr>
        <w:t>егория размещения 2*).</w:t>
      </w:r>
    </w:p>
    <w:p w14:paraId="2B3FF6F6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По ГОСТ 15150.</w:t>
      </w:r>
    </w:p>
    <w:p w14:paraId="4FF20A5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.1.2 По назначению - для защиты:</w:t>
      </w:r>
    </w:p>
    <w:p w14:paraId="138396AE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силовых трансформаторов, воздушных и кабельных линий;</w:t>
      </w:r>
    </w:p>
    <w:p w14:paraId="3A385A5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конденсаторов;</w:t>
      </w:r>
    </w:p>
    <w:p w14:paraId="1EEEA03D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электродвигателей;</w:t>
      </w:r>
    </w:p>
    <w:p w14:paraId="4385F57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трансформаторов напряжения.</w:t>
      </w:r>
    </w:p>
    <w:p w14:paraId="05269DA4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Примечание. Предохранители, предназначенные для защиты одного вида</w:t>
      </w:r>
      <w:r>
        <w:rPr>
          <w:color w:val="000000"/>
          <w:sz w:val="28"/>
          <w:szCs w:val="28"/>
          <w:lang w:val="ru-RU"/>
        </w:rPr>
        <w:t xml:space="preserve"> оборудования, могут быть использованы для защиты другого вида оборудования, если это предусмотрено в соответствующих стандартах или технических условиях (далее именуемых "Стандарты на конкретные серии или типы предохранителей").</w:t>
      </w:r>
    </w:p>
    <w:p w14:paraId="357A540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.1.3 По способности ограни</w:t>
      </w:r>
      <w:r>
        <w:rPr>
          <w:color w:val="000000"/>
          <w:sz w:val="28"/>
          <w:szCs w:val="28"/>
          <w:lang w:val="ru-RU"/>
        </w:rPr>
        <w:t>чивать ток при отключении:</w:t>
      </w:r>
    </w:p>
    <w:p w14:paraId="30F653E8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токоограничивающие;</w:t>
      </w:r>
    </w:p>
    <w:p w14:paraId="74FDAA1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нетокоограничивающие.</w:t>
      </w:r>
    </w:p>
    <w:p w14:paraId="4272569F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.1.4 По диапазону токов отключения *:</w:t>
      </w:r>
    </w:p>
    <w:p w14:paraId="3771E2C3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На предохранители трансформаторов напряжения не распространяется.</w:t>
      </w:r>
    </w:p>
    <w:p w14:paraId="271513E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класса 1 - с диапазоном от одночасового тока плавления до номинального тока отклю</w:t>
      </w:r>
      <w:r>
        <w:rPr>
          <w:color w:val="000000"/>
          <w:sz w:val="28"/>
          <w:szCs w:val="28"/>
          <w:lang w:val="ru-RU"/>
        </w:rPr>
        <w:t>чения (общего применения);</w:t>
      </w:r>
    </w:p>
    <w:p w14:paraId="6EA86BB0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класса 2 - с диапазоном от нормированного минимального тока отключения, превышающего одночасовой ток плавления, до номинального тока отключения (применяются, главным образом, для совместной работы с выключателем нагрузки или друг</w:t>
      </w:r>
      <w:r>
        <w:rPr>
          <w:color w:val="000000"/>
          <w:sz w:val="28"/>
          <w:szCs w:val="28"/>
          <w:lang w:val="ru-RU"/>
        </w:rPr>
        <w:t>им аппаратом, способным отключать токи, меньшие нормированного минимального тока отключения предохранителя).</w:t>
      </w:r>
    </w:p>
    <w:p w14:paraId="4E382DAE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.1.5 По способу гашения дуги:</w:t>
      </w:r>
    </w:p>
    <w:p w14:paraId="5C3D5808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приведением дуги в тесное соприкосновение с мелкими зернами наполнителя (предохранители с мелкозернистым наполнител</w:t>
      </w:r>
      <w:r>
        <w:rPr>
          <w:color w:val="000000"/>
          <w:sz w:val="28"/>
          <w:szCs w:val="28"/>
          <w:lang w:val="ru-RU"/>
        </w:rPr>
        <w:t>ем);</w:t>
      </w:r>
    </w:p>
    <w:p w14:paraId="3867135B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резким расширением (выхлопом) газов, образующихся при воздействии дуги на твердый газогенерирующий материал (выхлопные предохранители).</w:t>
      </w:r>
    </w:p>
    <w:p w14:paraId="655E6BD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.1.6. По наличию цоколя основания:</w:t>
      </w:r>
    </w:p>
    <w:p w14:paraId="725BF284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цоколем;</w:t>
      </w:r>
    </w:p>
    <w:p w14:paraId="4C73A2DF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цоколя.</w:t>
      </w:r>
    </w:p>
    <w:p w14:paraId="0B3C14AA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.1.7 По конструктивной связи между полюсами:</w:t>
      </w:r>
    </w:p>
    <w:p w14:paraId="1AF1747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трехполюсн</w:t>
      </w:r>
      <w:r>
        <w:rPr>
          <w:color w:val="000000"/>
          <w:sz w:val="28"/>
          <w:szCs w:val="28"/>
          <w:lang w:val="ru-RU"/>
        </w:rPr>
        <w:t>ое исполнение** - с общей рамой на 3 полюса;</w:t>
      </w:r>
    </w:p>
    <w:p w14:paraId="3C0D76E9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однополюсное исполнение **.</w:t>
      </w:r>
    </w:p>
    <w:p w14:paraId="6B978A48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** В стандарте, если не оговорено иначе, под "предохранителем" понимается любое исполнение - однополюсное или трехполюсное.</w:t>
      </w:r>
    </w:p>
    <w:p w14:paraId="2FA0CA7E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.1.8 По положению заменяемого элемента (держателя - у выхло</w:t>
      </w:r>
      <w:r>
        <w:rPr>
          <w:color w:val="000000"/>
          <w:sz w:val="28"/>
          <w:szCs w:val="28"/>
          <w:lang w:val="ru-RU"/>
        </w:rPr>
        <w:t>пных предохранителей) относительно контактов основания после срабатывания предохранителя:</w:t>
      </w:r>
    </w:p>
    <w:p w14:paraId="468511A0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неизменяющимся положением;</w:t>
      </w:r>
    </w:p>
    <w:p w14:paraId="7A01F66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откинутым положением.</w:t>
      </w:r>
    </w:p>
    <w:p w14:paraId="385687A3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.1.9 По наличию устройств сигнализации, блокировки и управления:</w:t>
      </w:r>
    </w:p>
    <w:p w14:paraId="6A9E574C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местным указателем срабатывания или без него;</w:t>
      </w:r>
    </w:p>
    <w:p w14:paraId="5787EBB4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ударным устройством для местного управления присоединенным аппаратом или устройством дистанционной сигнализации, блокировки и управления;</w:t>
      </w:r>
    </w:p>
    <w:p w14:paraId="146A4437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без устройств дистанционной сигнализации, блокировки и управления.</w:t>
      </w:r>
    </w:p>
    <w:p w14:paraId="4BC7B41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.1.10 По виду заменяемого элемента:</w:t>
      </w:r>
    </w:p>
    <w:p w14:paraId="4753D1F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виде одино</w:t>
      </w:r>
      <w:r>
        <w:rPr>
          <w:color w:val="000000"/>
          <w:sz w:val="28"/>
          <w:szCs w:val="28"/>
          <w:lang w:val="ru-RU"/>
        </w:rPr>
        <w:t>чного патрона;</w:t>
      </w:r>
    </w:p>
    <w:p w14:paraId="75AA7F6A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виде двух или нескольких параллельных или последовательных патронов;</w:t>
      </w:r>
    </w:p>
    <w:p w14:paraId="28E6F66D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виде плавкого элемента (с дополнительными деталями).</w:t>
      </w:r>
    </w:p>
    <w:p w14:paraId="3F88833F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ОСНОВНЫЕ (НОМИНАЛЬНЫЕ) ПАРАМЕТРЫ</w:t>
      </w:r>
    </w:p>
    <w:p w14:paraId="731FE4F2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К номинальным параметрам предохранителя относятся:</w:t>
      </w:r>
    </w:p>
    <w:p w14:paraId="299F08AF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номинальное напряжение пре</w:t>
      </w:r>
      <w:r>
        <w:rPr>
          <w:color w:val="000000"/>
          <w:sz w:val="28"/>
          <w:szCs w:val="28"/>
          <w:lang w:val="ru-RU"/>
        </w:rPr>
        <w:t xml:space="preserve">дохранителя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ном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соответствующее наибольшее рабочее напряжение предохранителя -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нр</w:t>
      </w:r>
      <w:r>
        <w:rPr>
          <w:i/>
          <w:iCs/>
          <w:color w:val="000000"/>
          <w:sz w:val="28"/>
          <w:szCs w:val="28"/>
          <w:lang w:val="ru-RU"/>
        </w:rPr>
        <w:t>);</w:t>
      </w:r>
    </w:p>
    <w:p w14:paraId="551CE349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номинальный ток предохранителя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>;</w:t>
      </w:r>
    </w:p>
    <w:p w14:paraId="50484CD2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номинальный ток заменяемого элемента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э</w:t>
      </w:r>
      <w:r>
        <w:rPr>
          <w:color w:val="000000"/>
          <w:sz w:val="28"/>
          <w:szCs w:val="28"/>
          <w:lang w:val="ru-RU"/>
        </w:rPr>
        <w:t xml:space="preserve">, равный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>;</w:t>
      </w:r>
    </w:p>
    <w:p w14:paraId="00B80450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номинальный ток основания предохранителя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ос</w:t>
      </w:r>
      <w:r>
        <w:rPr>
          <w:color w:val="000000"/>
          <w:sz w:val="28"/>
          <w:szCs w:val="28"/>
          <w:lang w:val="ru-RU"/>
        </w:rPr>
        <w:t>;</w:t>
      </w:r>
    </w:p>
    <w:p w14:paraId="2E8A1362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номинальный ток патро</w:t>
      </w:r>
      <w:r>
        <w:rPr>
          <w:color w:val="000000"/>
          <w:sz w:val="28"/>
          <w:szCs w:val="28"/>
          <w:lang w:val="ru-RU"/>
        </w:rPr>
        <w:t xml:space="preserve">на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п</w:t>
      </w:r>
      <w:r>
        <w:rPr>
          <w:color w:val="000000"/>
          <w:sz w:val="28"/>
          <w:szCs w:val="28"/>
          <w:lang w:val="ru-RU"/>
        </w:rPr>
        <w:t xml:space="preserve"> (для токоограничивающих предохранителей);</w:t>
      </w:r>
    </w:p>
    <w:p w14:paraId="0216516D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номинальный ток держателя заменяемого элемента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д</w:t>
      </w:r>
      <w:r>
        <w:rPr>
          <w:color w:val="000000"/>
          <w:sz w:val="28"/>
          <w:szCs w:val="28"/>
          <w:lang w:val="ru-RU"/>
        </w:rPr>
        <w:t xml:space="preserve"> (при наличии держателя);</w:t>
      </w:r>
    </w:p>
    <w:p w14:paraId="2D3E71C4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номинальный ток отключения предохранителя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o</w:t>
      </w:r>
      <w:r>
        <w:rPr>
          <w:color w:val="000000"/>
          <w:sz w:val="28"/>
          <w:szCs w:val="28"/>
          <w:vertAlign w:val="subscript"/>
          <w:lang w:val="ru-RU"/>
        </w:rPr>
        <w:t>, ном</w:t>
      </w:r>
      <w:r>
        <w:rPr>
          <w:color w:val="000000"/>
          <w:sz w:val="28"/>
          <w:szCs w:val="28"/>
          <w:lang w:val="ru-RU"/>
        </w:rPr>
        <w:t>.</w:t>
      </w:r>
    </w:p>
    <w:p w14:paraId="4F9F4003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Предохранителям трансформаторов напряжения приписывается только номиналь</w:t>
      </w:r>
      <w:r>
        <w:rPr>
          <w:color w:val="000000"/>
          <w:sz w:val="28"/>
          <w:szCs w:val="28"/>
          <w:lang w:val="ru-RU"/>
        </w:rPr>
        <w:t xml:space="preserve">ное напряжение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ном</w:t>
      </w:r>
      <w:r>
        <w:rPr>
          <w:color w:val="000000"/>
          <w:sz w:val="28"/>
          <w:szCs w:val="28"/>
          <w:lang w:val="ru-RU"/>
        </w:rPr>
        <w:t xml:space="preserve"> (и соответствующее наибольшее рабочее напряжение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нр</w:t>
      </w:r>
      <w:r>
        <w:rPr>
          <w:color w:val="000000"/>
          <w:sz w:val="28"/>
          <w:szCs w:val="28"/>
          <w:lang w:val="ru-RU"/>
        </w:rPr>
        <w:t>).</w:t>
      </w:r>
    </w:p>
    <w:p w14:paraId="2B679715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Значения номинальных параметров должны выбираться из числа стандартных значений, приведенных в табл.1.</w:t>
      </w:r>
    </w:p>
    <w:p w14:paraId="401BD6A6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0665DD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3770"/>
        <w:gridCol w:w="3780"/>
      </w:tblGrid>
      <w:tr w:rsidR="00000000" w14:paraId="24ED0A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94A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Обозначение параметра</w:t>
            </w:r>
          </w:p>
        </w:tc>
        <w:tc>
          <w:tcPr>
            <w:tcW w:w="7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459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Значение параметра</w:t>
            </w:r>
          </w:p>
        </w:tc>
      </w:tr>
      <w:tr w:rsidR="00000000" w14:paraId="611AA2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01D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961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токоограничивающие пре</w:t>
            </w:r>
            <w:r>
              <w:rPr>
                <w:color w:val="000000"/>
                <w:sz w:val="20"/>
                <w:szCs w:val="20"/>
                <w:lang w:val="ru-RU"/>
              </w:rPr>
              <w:t>дохранители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AE2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нетокоограничивающие предохранители</w:t>
            </w:r>
          </w:p>
        </w:tc>
      </w:tr>
      <w:tr w:rsidR="00000000" w14:paraId="5B5E1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850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U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</w:t>
            </w:r>
            <w:r>
              <w:rPr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U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нр</w:t>
            </w:r>
            <w:r>
              <w:rPr>
                <w:color w:val="000000"/>
                <w:sz w:val="20"/>
                <w:szCs w:val="20"/>
                <w:lang w:val="ru-RU"/>
              </w:rPr>
              <w:t>, кВ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12B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3/3,6; 6/7,2; 10/12; 15/17,5; 20/24; 35/40,5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DB8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6/7,2; 10/12; 15/17,5; 20/24; 35/40,5; 110/126; 150/172; 220/252</w:t>
            </w:r>
          </w:p>
        </w:tc>
      </w:tr>
      <w:tr w:rsidR="00000000" w14:paraId="3F8C05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AD5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ном, э</w:t>
            </w:r>
            <w:r>
              <w:rPr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904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2; 2,5; 3,2; 5; 6,3; 8; 10; 16; 20; 25; 31,5; 40;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50; 63; 80; 100</w:t>
            </w:r>
            <w:r>
              <w:rPr>
                <w:color w:val="000000"/>
                <w:sz w:val="20"/>
                <w:szCs w:val="20"/>
                <w:lang w:val="ru-RU"/>
              </w:rPr>
              <w:t>; 125; 160; 200; 250; 315; 400; 630; 800; 1000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657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2; 2,5; 3,2; 5; 6,3; 8; 10; 16; 20; 25; 31,5; 40;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50; 63; 80; 100; 125; 160; 200</w:t>
            </w:r>
          </w:p>
        </w:tc>
      </w:tr>
      <w:tr w:rsidR="00000000" w14:paraId="6769C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A70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ном, ос</w:t>
            </w:r>
            <w:r>
              <w:rPr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55E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10; 25; 40; 63; 100; 125; 160; 200; 400; 630; 800; 1000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FB3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25; 63; 100; 200</w:t>
            </w:r>
          </w:p>
        </w:tc>
      </w:tr>
      <w:tr w:rsidR="00000000" w14:paraId="14970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A0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ном, д</w:t>
            </w:r>
            <w:r>
              <w:rPr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7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28E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25; 63; 100; 200</w:t>
            </w:r>
          </w:p>
        </w:tc>
      </w:tr>
      <w:tr w:rsidR="00000000" w14:paraId="257A1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0D2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I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ном, п</w:t>
            </w:r>
            <w:r>
              <w:rPr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E4F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2; 2,5; 3,2; 5; 6,3; 8; 10; 16; 20; 25; 31,5; 40; 50; 63; 80; 100; 125; 160; 200; 250; 315; 400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84C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77EBFE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341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I*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о, ном</w:t>
            </w:r>
            <w:r>
              <w:rPr>
                <w:color w:val="000000"/>
                <w:sz w:val="20"/>
                <w:szCs w:val="20"/>
                <w:lang w:val="ru-RU"/>
              </w:rPr>
              <w:t>, кА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B37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2,5; 3,2; 4; 5; 6,3; 8; 10; 12,5; 16; 20; 25; 31,5; 40; 50; 63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DD4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1,6; 2; 2,5; 3,2; 4; 5; 6,3; 8; 10; 12,5; 16; 20</w:t>
            </w:r>
          </w:p>
        </w:tc>
      </w:tr>
    </w:tbl>
    <w:p w14:paraId="33921FD3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DBB40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* Значения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о, ном</w:t>
      </w:r>
      <w:r>
        <w:rPr>
          <w:color w:val="000000"/>
          <w:sz w:val="28"/>
          <w:szCs w:val="28"/>
          <w:lang w:val="ru-RU"/>
        </w:rPr>
        <w:t xml:space="preserve"> установлены для отключения тока короткого замыкания в индуктивной цепи. Предпочтительное значение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о, ном</w:t>
      </w:r>
      <w:r>
        <w:rPr>
          <w:color w:val="000000"/>
          <w:sz w:val="28"/>
          <w:szCs w:val="28"/>
          <w:lang w:val="ru-RU"/>
        </w:rPr>
        <w:t xml:space="preserve"> при отключении то</w:t>
      </w:r>
      <w:r>
        <w:rPr>
          <w:color w:val="000000"/>
          <w:sz w:val="28"/>
          <w:szCs w:val="28"/>
          <w:lang w:val="ru-RU"/>
        </w:rPr>
        <w:t xml:space="preserve">ка короткого замыкания в емкостной цепи для предохранителя, защищающего конденсатор, должно превышать в 20 или 50 раз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э</w:t>
      </w:r>
      <w:r>
        <w:rPr>
          <w:color w:val="000000"/>
          <w:sz w:val="28"/>
          <w:szCs w:val="28"/>
          <w:lang w:val="ru-RU"/>
        </w:rPr>
        <w:t xml:space="preserve"> (в случае однородной серии предохранителей - наибольший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>ном, э</w:t>
      </w:r>
      <w:r>
        <w:rPr>
          <w:color w:val="000000"/>
          <w:sz w:val="28"/>
          <w:szCs w:val="28"/>
          <w:lang w:val="ru-RU"/>
        </w:rPr>
        <w:t>)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12952F62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(Измененная редакция, Изм. № 1,2).</w:t>
      </w:r>
    </w:p>
    <w:p w14:paraId="00476BBE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В стандартах на конкретные</w:t>
      </w:r>
      <w:r>
        <w:rPr>
          <w:color w:val="000000"/>
          <w:sz w:val="28"/>
          <w:szCs w:val="28"/>
          <w:lang w:val="ru-RU"/>
        </w:rPr>
        <w:t xml:space="preserve"> серии или типы предохранителей и (или) в эксплуатационной документации должны указываться технические данные предохранителей согласно приложению 2.</w:t>
      </w:r>
    </w:p>
    <w:p w14:paraId="4EFD00C9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букв и цифр условного обозначения, расположенных до первого тире, означают серию, совокупность серии</w:t>
      </w:r>
      <w:r>
        <w:rPr>
          <w:color w:val="000000"/>
          <w:sz w:val="28"/>
          <w:szCs w:val="28"/>
          <w:lang w:val="ru-RU"/>
        </w:rPr>
        <w:t xml:space="preserve"> и значения номинального напряжения - тип, а обозначение в целом - типоисполнение предохранителя.</w:t>
      </w:r>
    </w:p>
    <w:p w14:paraId="5B13F1AA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 условного обозначения предохранителя с мелкозернистым наполнителем, предназначенного для защиты силового трансформатора конструктивного исполнения 101,</w:t>
      </w:r>
      <w:r>
        <w:rPr>
          <w:color w:val="000000"/>
          <w:sz w:val="28"/>
          <w:szCs w:val="28"/>
          <w:lang w:val="ru-RU"/>
        </w:rPr>
        <w:t xml:space="preserve"> на номинальное напряжение 10 кВ, номинальный ток 20 А, номинальный ток отключения 20 кА, климатического исполнения У, категории размещения 1 по ГОСТ 15150:</w:t>
      </w:r>
    </w:p>
    <w:p w14:paraId="272AFC66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Предохранитель ПКТ 101-10-20-20 У1</w:t>
      </w:r>
    </w:p>
    <w:p w14:paraId="37218F46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Структура условного обозначения предохранителя</w:t>
      </w:r>
    </w:p>
    <w:p w14:paraId="1D824F7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248"/>
        <w:gridCol w:w="248"/>
        <w:gridCol w:w="247"/>
        <w:gridCol w:w="249"/>
        <w:gridCol w:w="249"/>
        <w:gridCol w:w="248"/>
        <w:gridCol w:w="249"/>
        <w:gridCol w:w="250"/>
        <w:gridCol w:w="250"/>
        <w:gridCol w:w="250"/>
        <w:gridCol w:w="249"/>
        <w:gridCol w:w="250"/>
        <w:gridCol w:w="250"/>
        <w:gridCol w:w="249"/>
        <w:gridCol w:w="250"/>
        <w:gridCol w:w="250"/>
        <w:gridCol w:w="250"/>
        <w:gridCol w:w="4610"/>
      </w:tblGrid>
      <w:tr w:rsidR="00000000" w14:paraId="73E089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61D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588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34F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C07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 - 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6B6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23A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 - 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BC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A1D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AD2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3D9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53E2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CE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15D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61A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EBE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EB8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DE5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F8E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C58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BA5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839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5D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153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01F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A3B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690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AD9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C84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5C1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4BA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Категория размещения по ГОСТ 15150 </w:t>
            </w:r>
          </w:p>
        </w:tc>
      </w:tr>
      <w:tr w:rsidR="00000000" w14:paraId="0CE57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FED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DD8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C3E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628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180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D05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0AE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C27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55E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81F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D50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F70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D6E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882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16E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FBE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776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A9F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AEC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Климатическое исполнение по ГОСТ 15150 </w:t>
            </w:r>
          </w:p>
        </w:tc>
      </w:tr>
      <w:tr w:rsidR="00000000" w14:paraId="37D654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E5C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BCF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0A8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D37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B64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9C3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667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A83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576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46E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93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DC4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6E1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FBF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E32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9C5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DC5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CF2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C0B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Номинальный ток отключения предохранителя в килоамперах </w:t>
            </w:r>
          </w:p>
        </w:tc>
      </w:tr>
      <w:tr w:rsidR="00000000" w14:paraId="197A75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7CB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410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096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90E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0D3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D74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0ED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1E5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513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81D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432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42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5B9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956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AF3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7A7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459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E4C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C39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Номинальный ток предохранителя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амперах </w:t>
            </w:r>
          </w:p>
        </w:tc>
      </w:tr>
      <w:tr w:rsidR="00000000" w14:paraId="2AA799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872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42C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C08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C44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B69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1CF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BD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F12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084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9FE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6B2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BC8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BA3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AF6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8B7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ED1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508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5E4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C6C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Номинальное напряжение предохранителя в киловольтах </w:t>
            </w:r>
          </w:p>
        </w:tc>
      </w:tr>
      <w:tr w:rsidR="00000000" w14:paraId="52C800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E42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BB7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9F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300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56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EFD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5CF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B451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395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244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A78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45D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AB8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A3D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59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1BF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DDF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97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6B87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Трехзначное число, означающее условное обозначение конструктивного исполнения: однополюсное или трехполюсное исполнение, габарит заменяемого элемента (д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ержателя) и количество патронов, материал корпуса патрона и др. </w:t>
            </w:r>
          </w:p>
        </w:tc>
      </w:tr>
      <w:tr w:rsidR="00000000" w14:paraId="7749A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A1D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E59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4FD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A1F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0C1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125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5A7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40C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FF1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0B6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184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306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48A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B33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4E4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7E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A41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E14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141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Назначение: Т - для защиты силовых трансформаторов и линий; К - для конденсаторов; Д - для электродвигателей; Н - для трансформаторов напряжения </w:t>
            </w:r>
          </w:p>
        </w:tc>
      </w:tr>
      <w:tr w:rsidR="00000000" w14:paraId="287E11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944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E89D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CF2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491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A29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735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D38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085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9AF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B3A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6FB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0CC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492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E1C4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12A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E44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CB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4F5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D98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Буквы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 (с мелкозернистым кварцевым наполнителем) или В (выхлопной) </w:t>
            </w:r>
          </w:p>
        </w:tc>
      </w:tr>
      <w:tr w:rsidR="00000000" w14:paraId="35D7B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0A88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ACC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2F2A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5BF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CAF5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EEE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C0F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C443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1F1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E28F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6CE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C0EB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E7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124C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D802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9BDE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7700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A9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5536" w14:textId="77777777" w:rsidR="00000000" w:rsidRDefault="00A637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Предохранитель </w:t>
            </w:r>
          </w:p>
        </w:tc>
      </w:tr>
    </w:tbl>
    <w:p w14:paraId="2EA13E8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AE79F0B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Примечание. Если предохранитель предназначен для отключения тока короткого замыкания в индуктивной и емкостной цепи, то в условном обозначении предохраните</w:t>
      </w:r>
      <w:r>
        <w:rPr>
          <w:color w:val="000000"/>
          <w:sz w:val="28"/>
          <w:szCs w:val="28"/>
          <w:lang w:val="ru-RU"/>
        </w:rPr>
        <w:t xml:space="preserve">ля указывают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o</w:t>
      </w:r>
      <w:r>
        <w:rPr>
          <w:color w:val="000000"/>
          <w:sz w:val="28"/>
          <w:szCs w:val="28"/>
          <w:vertAlign w:val="subscript"/>
          <w:lang w:val="ru-RU"/>
        </w:rPr>
        <w:t>, ном</w:t>
      </w:r>
      <w:r>
        <w:rPr>
          <w:color w:val="000000"/>
          <w:sz w:val="28"/>
          <w:szCs w:val="28"/>
          <w:lang w:val="ru-RU"/>
        </w:rPr>
        <w:t xml:space="preserve"> в индуктивной цепи, а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o</w:t>
      </w:r>
      <w:r>
        <w:rPr>
          <w:color w:val="000000"/>
          <w:sz w:val="28"/>
          <w:szCs w:val="28"/>
          <w:vertAlign w:val="subscript"/>
          <w:lang w:val="ru-RU"/>
        </w:rPr>
        <w:t>, ном</w:t>
      </w:r>
      <w:r>
        <w:rPr>
          <w:color w:val="000000"/>
          <w:sz w:val="28"/>
          <w:szCs w:val="28"/>
          <w:lang w:val="ru-RU"/>
        </w:rPr>
        <w:t xml:space="preserve"> в емкостной цепи указывают в стандартах на конкретные серии или типы предохранителей.</w:t>
      </w:r>
    </w:p>
    <w:p w14:paraId="22CD7471" w14:textId="77777777" w:rsidR="00000000" w:rsidRDefault="00A6374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условном обозначении указывают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o</w:t>
      </w:r>
      <w:r>
        <w:rPr>
          <w:color w:val="000000"/>
          <w:sz w:val="28"/>
          <w:szCs w:val="28"/>
          <w:vertAlign w:val="subscript"/>
          <w:lang w:val="ru-RU"/>
        </w:rPr>
        <w:t>, ном</w:t>
      </w:r>
      <w:r>
        <w:rPr>
          <w:color w:val="000000"/>
          <w:sz w:val="28"/>
          <w:szCs w:val="28"/>
          <w:lang w:val="ru-RU"/>
        </w:rPr>
        <w:t xml:space="preserve"> в емкостной цепи, если предохранитель предназначен только для отключения тока </w:t>
      </w:r>
      <w:r>
        <w:rPr>
          <w:color w:val="000000"/>
          <w:sz w:val="28"/>
          <w:szCs w:val="28"/>
          <w:lang w:val="ru-RU"/>
        </w:rPr>
        <w:t>короткого замыкания в емкостной цепи.</w:t>
      </w:r>
    </w:p>
    <w:p w14:paraId="3EF8C7E0" w14:textId="77777777" w:rsidR="00000000" w:rsidRDefault="00A63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используемых источников</w:t>
      </w:r>
    </w:p>
    <w:p w14:paraId="6918B862" w14:textId="77777777" w:rsidR="00000000" w:rsidRDefault="00A63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6689E6" w14:textId="77777777" w:rsidR="00000000" w:rsidRDefault="00A6374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Чунихин А.А. Электрические аппараты: Общий курс. Учебник для вузов. - 4-е изд., стереотипное. - М.: ООО Альянс, 2008. - 720с.: ил.</w:t>
      </w:r>
    </w:p>
    <w:p w14:paraId="1CC537E4" w14:textId="77777777" w:rsidR="00000000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Хмельницкий Р.С., Шеховцова Н.А. Быстродействую</w:t>
      </w:r>
      <w:r>
        <w:rPr>
          <w:sz w:val="28"/>
          <w:szCs w:val="28"/>
          <w:lang w:val="ru-RU"/>
        </w:rPr>
        <w:t>щие плавкие предохранители. М.: Информэлектро, 1983. 44с.</w:t>
      </w:r>
    </w:p>
    <w:p w14:paraId="54FDD8B4" w14:textId="77777777" w:rsidR="00000000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Намитоков К.К. Плавкие предохранители. М.: Энергия, 1979. 176с.</w:t>
      </w:r>
    </w:p>
    <w:p w14:paraId="296F580B" w14:textId="77777777" w:rsidR="00000000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Голубев А.И. Быстродействующие автоматические выключатели. М.: Энергия, 1964.240с.</w:t>
      </w:r>
    </w:p>
    <w:p w14:paraId="2F9171FE" w14:textId="77777777" w:rsidR="00000000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Таев И.С. Электрические аппараты управления. </w:t>
      </w:r>
      <w:r>
        <w:rPr>
          <w:sz w:val="28"/>
          <w:szCs w:val="28"/>
          <w:lang w:val="ru-RU"/>
        </w:rPr>
        <w:t>- М.: Высшая школа, 1984. - 224с.</w:t>
      </w:r>
    </w:p>
    <w:p w14:paraId="79CEE880" w14:textId="77777777" w:rsidR="00000000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http://electrik. info/ [Электронный ресурс].</w:t>
      </w:r>
    </w:p>
    <w:p w14:paraId="11BA5E6E" w14:textId="77777777" w:rsidR="00A6374E" w:rsidRDefault="00A63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http://electricalschool. info/ [Электронный ресурс].</w:t>
      </w:r>
    </w:p>
    <w:sectPr w:rsidR="00A637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C"/>
    <w:rsid w:val="001364DC"/>
    <w:rsid w:val="00A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71332"/>
  <w14:defaultImageDpi w14:val="0"/>
  <w15:docId w15:val="{602E79A7-8065-430F-A3B2-A6475703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3157</Words>
  <Characters>17997</Characters>
  <Application>Microsoft Office Word</Application>
  <DocSecurity>0</DocSecurity>
  <Lines>149</Lines>
  <Paragraphs>42</Paragraphs>
  <ScaleCrop>false</ScaleCrop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2025-03-20T13:26:00Z</dcterms:created>
  <dcterms:modified xsi:type="dcterms:W3CDTF">2025-03-20T13:26:00Z</dcterms:modified>
</cp:coreProperties>
</file>