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47F9" w14:textId="77777777" w:rsidR="00000000" w:rsidRDefault="00FB13B6">
      <w:pPr>
        <w:pStyle w:val="4"/>
        <w:ind w:firstLine="709"/>
        <w:rPr>
          <w:sz w:val="32"/>
          <w:lang w:val="en-US"/>
        </w:rPr>
      </w:pPr>
      <w:r>
        <w:rPr>
          <w:sz w:val="32"/>
        </w:rPr>
        <w:t>Ионизирующее излучение и радиоактивность</w:t>
      </w:r>
    </w:p>
    <w:p w14:paraId="430ADCF2" w14:textId="77777777" w:rsidR="00000000" w:rsidRDefault="00FB13B6">
      <w:pPr>
        <w:rPr>
          <w:lang w:val="en-US"/>
        </w:rPr>
      </w:pPr>
    </w:p>
    <w:p w14:paraId="12CB0051" w14:textId="77777777" w:rsidR="00000000" w:rsidRDefault="00FB13B6">
      <w:pPr>
        <w:ind w:firstLine="709"/>
        <w:jc w:val="both"/>
      </w:pPr>
      <w:r>
        <w:rPr>
          <w:b/>
          <w:bCs/>
          <w:i/>
          <w:u w:val="single"/>
        </w:rPr>
        <w:t>Ионизирующее</w:t>
      </w:r>
      <w:r>
        <w:rPr>
          <w:b/>
          <w:bCs/>
          <w:i/>
        </w:rPr>
        <w:t xml:space="preserve"> </w:t>
      </w:r>
      <w:r>
        <w:rPr>
          <w:b/>
          <w:bCs/>
          <w:i/>
          <w:u w:val="single"/>
        </w:rPr>
        <w:t>излучени</w:t>
      </w:r>
      <w:r>
        <w:rPr>
          <w:b/>
          <w:bCs/>
          <w:i/>
        </w:rPr>
        <w:t>е</w:t>
      </w:r>
      <w:r>
        <w:t xml:space="preserve"> – поток заряженных или нейтральных частиц и квантов электромагнитного излучения, прохождение которых через вещество приводит к иониз</w:t>
      </w:r>
      <w:r>
        <w:t>а</w:t>
      </w:r>
      <w:r>
        <w:t>ции и возбуждению атомов или молекул среды.</w:t>
      </w:r>
    </w:p>
    <w:p w14:paraId="10D7D315" w14:textId="77777777" w:rsidR="00000000" w:rsidRDefault="00FB13B6">
      <w:pPr>
        <w:pStyle w:val="a3"/>
        <w:spacing w:line="240" w:lineRule="auto"/>
        <w:ind w:firstLine="709"/>
      </w:pPr>
      <w:r>
        <w:t>Все ионизирующ</w:t>
      </w:r>
      <w:r>
        <w:t>ие излучения по своей природе делятся на фотонные и корпуск</w:t>
      </w:r>
      <w:r>
        <w:t>у</w:t>
      </w:r>
      <w:r>
        <w:t>лярные. К фотонному ионизирующему излучению относятся гамма-излучение, возн</w:t>
      </w:r>
      <w:r>
        <w:t>и</w:t>
      </w:r>
      <w:r>
        <w:t>кающее при изменении энергетического состояния атомных ядер или аннигиляции ча</w:t>
      </w:r>
      <w:r>
        <w:t>с</w:t>
      </w:r>
      <w:r>
        <w:t>тиц, тормозное излучение, возникающее при</w:t>
      </w:r>
      <w:r>
        <w:t xml:space="preserve"> уменьшении кинетической энергии заряже</w:t>
      </w:r>
      <w:r>
        <w:t>н</w:t>
      </w:r>
      <w:r>
        <w:t>ных частиц, характеристическое излучение с дискретным энергетическим спектром, во</w:t>
      </w:r>
      <w:r>
        <w:t>з</w:t>
      </w:r>
      <w:r>
        <w:t>никающее при изм</w:t>
      </w:r>
      <w:r>
        <w:t>е</w:t>
      </w:r>
      <w:r>
        <w:t>нении энергетического состояния электронов атома и рентгеновское излучение, состоящее из тормозного и/или характерист</w:t>
      </w:r>
      <w:r>
        <w:t>ического излучений. К корпуск</w:t>
      </w:r>
      <w:r>
        <w:t>у</w:t>
      </w:r>
      <w:r>
        <w:t>лярному ионизирующему излучению относят альфа-излучение, эле</w:t>
      </w:r>
      <w:r>
        <w:t>к</w:t>
      </w:r>
      <w:r>
        <w:t>тронное, протонное, нейтронное и мезонное излучения. Корпускулярное излучение, состоящее из потока зар</w:t>
      </w:r>
      <w:r>
        <w:t>я</w:t>
      </w:r>
      <w:r>
        <w:t>женных частиц (альфа-, бета-частиц, протонов, электронов), кин</w:t>
      </w:r>
      <w:r>
        <w:t>етическая энергия кот</w:t>
      </w:r>
      <w:r>
        <w:t>о</w:t>
      </w:r>
      <w:r>
        <w:t>рых достаточна для ионизации атомов при столкновении, относится к классу непосредс</w:t>
      </w:r>
      <w:r>
        <w:t>т</w:t>
      </w:r>
      <w:r>
        <w:t>венно ионизирующего излучения. Нейтроны и другие элементарные частицы непосредс</w:t>
      </w:r>
      <w:r>
        <w:t>т</w:t>
      </w:r>
      <w:r>
        <w:t>венно не производят ионизацию, но в процессе взаимодействия со средой в</w:t>
      </w:r>
      <w:r>
        <w:t>ысвоб</w:t>
      </w:r>
      <w:r>
        <w:t>о</w:t>
      </w:r>
      <w:r>
        <w:t>ждают заряженные частицы (электроны, протоны), способные ионизировать атомы и молекулы среды, через которую проходят. Соответственно, корпу</w:t>
      </w:r>
      <w:r>
        <w:t>с</w:t>
      </w:r>
      <w:r>
        <w:t>кулярное излучение, состоящее из потока незаряженных частиц, называют косвенно ионизирующим излуч</w:t>
      </w:r>
      <w:r>
        <w:t>е</w:t>
      </w:r>
      <w:r>
        <w:t>нием.</w:t>
      </w:r>
    </w:p>
    <w:p w14:paraId="42C99430" w14:textId="77777777" w:rsidR="00000000" w:rsidRDefault="00FB13B6">
      <w:pPr>
        <w:ind w:firstLine="709"/>
        <w:jc w:val="both"/>
      </w:pPr>
      <w:r>
        <w:t>Источн</w:t>
      </w:r>
      <w:r>
        <w:t>иком ионизирующего излучения называют объект, содержащий радиоа</w:t>
      </w:r>
      <w:r>
        <w:t>к</w:t>
      </w:r>
      <w:r>
        <w:t>тивный материал, или техническое устройство, испускающее или способное (при опред</w:t>
      </w:r>
      <w:r>
        <w:t>е</w:t>
      </w:r>
      <w:r>
        <w:t>ленных условиях) испускать ионизирующее излуч</w:t>
      </w:r>
      <w:r>
        <w:t>е</w:t>
      </w:r>
      <w:r>
        <w:t>ние.</w:t>
      </w:r>
    </w:p>
    <w:p w14:paraId="4A46BAD2" w14:textId="77777777" w:rsidR="00000000" w:rsidRDefault="00FB13B6">
      <w:pPr>
        <w:ind w:firstLine="709"/>
        <w:jc w:val="both"/>
      </w:pPr>
      <w:r>
        <w:rPr>
          <w:b/>
        </w:rPr>
        <w:t xml:space="preserve">Классификация источников излучения. </w:t>
      </w:r>
      <w:r>
        <w:t>Современные ядерно-техн</w:t>
      </w:r>
      <w:r>
        <w:t>ические уст</w:t>
      </w:r>
      <w:r>
        <w:t>а</w:t>
      </w:r>
      <w:r>
        <w:t>новки обычно представляют собой сложные источники излучений. Например, источник</w:t>
      </w:r>
      <w:r>
        <w:t>а</w:t>
      </w:r>
      <w:r>
        <w:t>ми излучений действующего ядерного реактора, кроме а</w:t>
      </w:r>
      <w:r>
        <w:t>к</w:t>
      </w:r>
      <w:r>
        <w:t>тивной зоны, являются система охлаждения, конструкционные материалы, оборудование и др. Поле излучения таких р</w:t>
      </w:r>
      <w:r>
        <w:t>е</w:t>
      </w:r>
      <w:r>
        <w:t xml:space="preserve">альных сложных источников обычно представляется как суперпозиция полей излучения отдельных, более элементарных источников. </w:t>
      </w:r>
    </w:p>
    <w:p w14:paraId="1679EBC6" w14:textId="77777777" w:rsidR="00000000" w:rsidRDefault="00FB13B6">
      <w:pPr>
        <w:ind w:firstLine="709"/>
        <w:jc w:val="both"/>
      </w:pPr>
      <w:r>
        <w:t>Любой источник излучения характеризуется:</w:t>
      </w:r>
    </w:p>
    <w:p w14:paraId="5E56CA78" w14:textId="77777777" w:rsidR="00000000" w:rsidRDefault="00FB13B6">
      <w:pPr>
        <w:numPr>
          <w:ilvl w:val="0"/>
          <w:numId w:val="1"/>
        </w:numPr>
        <w:ind w:left="0" w:firstLine="709"/>
        <w:jc w:val="both"/>
      </w:pPr>
      <w:r>
        <w:t>Видом излучения – основное внимание уделяется наиболее часто встреча</w:t>
      </w:r>
      <w:r>
        <w:t>ю</w:t>
      </w:r>
      <w:r>
        <w:t>щимся на практике ист</w:t>
      </w:r>
      <w:r>
        <w:t xml:space="preserve">очникам </w:t>
      </w:r>
      <w:r>
        <w:sym w:font="Symbol" w:char="F067"/>
      </w:r>
      <w:r>
        <w:t xml:space="preserve">-излучения, нейтронов, </w:t>
      </w:r>
      <w:r>
        <w:sym w:font="Symbol" w:char="F061"/>
      </w:r>
      <w:r>
        <w:t xml:space="preserve">-, </w:t>
      </w:r>
      <w:r>
        <w:sym w:font="Symbol" w:char="F062"/>
      </w:r>
      <w:r>
        <w:rPr>
          <w:vertAlign w:val="superscript"/>
        </w:rPr>
        <w:t>+</w:t>
      </w:r>
      <w:r>
        <w:t xml:space="preserve">-, </w:t>
      </w:r>
      <w:r>
        <w:sym w:font="Symbol" w:char="F062"/>
      </w:r>
      <w:r>
        <w:rPr>
          <w:vertAlign w:val="superscript"/>
        </w:rPr>
        <w:t>-</w:t>
      </w:r>
      <w:r>
        <w:t>-частиц.</w:t>
      </w:r>
    </w:p>
    <w:p w14:paraId="42A238A2" w14:textId="77777777" w:rsidR="00000000" w:rsidRDefault="00FB13B6">
      <w:pPr>
        <w:numPr>
          <w:ilvl w:val="0"/>
          <w:numId w:val="1"/>
        </w:numPr>
        <w:ind w:left="0" w:firstLine="709"/>
        <w:jc w:val="both"/>
      </w:pPr>
      <w:r>
        <w:t>Геометрией источника (формой и размерами) – геометрически и</w:t>
      </w:r>
      <w:r>
        <w:t>с</w:t>
      </w:r>
      <w:r>
        <w:t>точники могут быть точечными и протяженными. Протяженные источники представляют суперп</w:t>
      </w:r>
      <w:r>
        <w:t>о</w:t>
      </w:r>
      <w:r>
        <w:t>зицию точечных источников и могут быть линейными, поверхн</w:t>
      </w:r>
      <w:r>
        <w:t>остными или объемными с ограниченн</w:t>
      </w:r>
      <w:r>
        <w:t>ы</w:t>
      </w:r>
      <w:r>
        <w:t>ми, полубесконечными или бесконечными размерами. Физически точечным можно считать такой источник, максимальные размеры которого много меньше рассто</w:t>
      </w:r>
      <w:r>
        <w:t>я</w:t>
      </w:r>
      <w:r>
        <w:t>ния до точки детектирования и длины свободного пробега в материале источн</w:t>
      </w:r>
      <w:r>
        <w:t>ика (осла</w:t>
      </w:r>
      <w:r>
        <w:t>б</w:t>
      </w:r>
      <w:r>
        <w:t>лением изл</w:t>
      </w:r>
      <w:r>
        <w:t>у</w:t>
      </w:r>
      <w:r>
        <w:t>чения в источнике можно пренебречь). Поверхностные источники имеют толщину много меньшую, чем расстояние до точки детект</w:t>
      </w:r>
      <w:r>
        <w:t>и</w:t>
      </w:r>
      <w:r>
        <w:t>рования и длина свободного пробега в материале источника. В объемном источнике излучатели распределены в тре</w:t>
      </w:r>
      <w:r>
        <w:t>х</w:t>
      </w:r>
      <w:r>
        <w:t>мерно</w:t>
      </w:r>
      <w:r>
        <w:t>й области пространства.</w:t>
      </w:r>
    </w:p>
    <w:p w14:paraId="64636CED" w14:textId="77777777" w:rsidR="00000000" w:rsidRDefault="00FB13B6">
      <w:pPr>
        <w:numPr>
          <w:ilvl w:val="0"/>
          <w:numId w:val="1"/>
        </w:numPr>
        <w:ind w:left="0" w:firstLine="709"/>
        <w:jc w:val="both"/>
      </w:pPr>
      <w:r>
        <w:t>Мощностью и ее распределением по источнику – источники излучения на</w:t>
      </w:r>
      <w:r>
        <w:t>и</w:t>
      </w:r>
      <w:r>
        <w:t>более часто распределяются по протяженному излучателю равномерно, экспоненциально, линейно или по косинусоидальному закону.</w:t>
      </w:r>
    </w:p>
    <w:p w14:paraId="5556A447" w14:textId="77777777" w:rsidR="00000000" w:rsidRDefault="00FB13B6">
      <w:pPr>
        <w:numPr>
          <w:ilvl w:val="0"/>
          <w:numId w:val="1"/>
        </w:numPr>
        <w:ind w:left="0" w:firstLine="709"/>
        <w:jc w:val="both"/>
      </w:pPr>
      <w:r>
        <w:t>Энергетическим составом – энергетический</w:t>
      </w:r>
      <w:r>
        <w:t xml:space="preserve"> спектр источников м</w:t>
      </w:r>
      <w:r>
        <w:t>о</w:t>
      </w:r>
      <w:r>
        <w:t>жет быть моноэнергетическим (испускаются частицы одной фикс</w:t>
      </w:r>
      <w:r>
        <w:t>и</w:t>
      </w:r>
      <w:r>
        <w:t>рованной энергии), дискретным (испускаются моноэнергетические частицы нескольких энергий) или непрерывным (и</w:t>
      </w:r>
      <w:r>
        <w:t>с</w:t>
      </w:r>
      <w:r>
        <w:t>пускаются частицы разных энергий в пределах некоторого энергетичес</w:t>
      </w:r>
      <w:r>
        <w:t>кого диап</w:t>
      </w:r>
      <w:r>
        <w:t>а</w:t>
      </w:r>
      <w:r>
        <w:t>зона).</w:t>
      </w:r>
    </w:p>
    <w:p w14:paraId="77E90C02" w14:textId="77777777" w:rsidR="00000000" w:rsidRDefault="00FB13B6">
      <w:pPr>
        <w:numPr>
          <w:ilvl w:val="0"/>
          <w:numId w:val="1"/>
        </w:numPr>
        <w:ind w:left="0" w:firstLine="709"/>
        <w:jc w:val="both"/>
      </w:pPr>
      <w:r>
        <w:t>Угловым распределением излучения – среди многообразия угловых распр</w:t>
      </w:r>
      <w:r>
        <w:t>е</w:t>
      </w:r>
      <w:r>
        <w:t xml:space="preserve">делений излучений источников для решения большинства практических задач достаточно </w:t>
      </w:r>
      <w:r>
        <w:lastRenderedPageBreak/>
        <w:t>рассматривать следующие: изотро</w:t>
      </w:r>
      <w:r>
        <w:t>п</w:t>
      </w:r>
      <w:r>
        <w:t>ное, косинусоидальное, мононаправленное. Иногда встречаю</w:t>
      </w:r>
      <w:r>
        <w:t>тся угловые распределения, которые можно записать в виде комбинаций из</w:t>
      </w:r>
      <w:r>
        <w:t>о</w:t>
      </w:r>
      <w:r>
        <w:t>тропных и косинусоидальных угловых распределений излуч</w:t>
      </w:r>
      <w:r>
        <w:t>е</w:t>
      </w:r>
      <w:r>
        <w:t>ний.</w:t>
      </w:r>
    </w:p>
    <w:p w14:paraId="427EAF39" w14:textId="77777777" w:rsidR="00000000" w:rsidRDefault="00FB13B6">
      <w:pPr>
        <w:pStyle w:val="2"/>
        <w:spacing w:line="240" w:lineRule="auto"/>
        <w:ind w:firstLine="709"/>
        <w:rPr>
          <w:sz w:val="24"/>
        </w:rPr>
      </w:pPr>
      <w:r>
        <w:rPr>
          <w:sz w:val="24"/>
        </w:rPr>
        <w:t>(На практике источники встречаются в неограниченном многообразии ук</w:t>
      </w:r>
      <w:r>
        <w:rPr>
          <w:sz w:val="24"/>
        </w:rPr>
        <w:t>а</w:t>
      </w:r>
      <w:r>
        <w:rPr>
          <w:sz w:val="24"/>
        </w:rPr>
        <w:t>занных характеристик.)</w:t>
      </w:r>
    </w:p>
    <w:p w14:paraId="1114F959" w14:textId="77777777" w:rsidR="00000000" w:rsidRDefault="00FB13B6">
      <w:pPr>
        <w:ind w:firstLine="709"/>
        <w:jc w:val="both"/>
      </w:pPr>
      <w:r>
        <w:t xml:space="preserve">Гамма-лучи, альфа- и бета-частицы </w:t>
      </w:r>
      <w:r>
        <w:t>обладают различной проникающей способн</w:t>
      </w:r>
      <w:r>
        <w:t>о</w:t>
      </w:r>
      <w:r>
        <w:t>стью. Пробег альфа-частицы в воздухе не превышает нескольких сантиметров; бета-частицы могут пройти в воздухе несколько метров, а гамма-кванты – десятки, сотни ме</w:t>
      </w:r>
      <w:r>
        <w:t>т</w:t>
      </w:r>
      <w:r>
        <w:t>ров. При внешнем облучении человека альфа-частицы полн</w:t>
      </w:r>
      <w:r>
        <w:t>остью задерживаются повер</w:t>
      </w:r>
      <w:r>
        <w:t>х</w:t>
      </w:r>
      <w:r>
        <w:t>ностным слоем кожи; бета-частицы не могут проникнуть в глубь человеческого организма больше, чем на несколько миллиметров; гамма-кванты способны вызвать облучение всего т</w:t>
      </w:r>
      <w:r>
        <w:t>е</w:t>
      </w:r>
      <w:r>
        <w:t>ла.</w:t>
      </w:r>
    </w:p>
    <w:p w14:paraId="6CAE846D" w14:textId="77777777" w:rsidR="00000000" w:rsidRDefault="00FB13B6">
      <w:pPr>
        <w:pStyle w:val="Normal"/>
        <w:spacing w:before="0" w:after="0"/>
        <w:ind w:firstLine="709"/>
        <w:jc w:val="center"/>
        <w:rPr>
          <w:b/>
          <w:sz w:val="32"/>
        </w:rPr>
      </w:pPr>
      <w:r>
        <w:rPr>
          <w:b/>
          <w:sz w:val="32"/>
        </w:rPr>
        <w:t>Клинические аспекты действия малых доз ионизирующего из</w:t>
      </w:r>
      <w:r>
        <w:rPr>
          <w:b/>
          <w:sz w:val="32"/>
        </w:rPr>
        <w:t>лучения на человека</w:t>
      </w:r>
    </w:p>
    <w:p w14:paraId="7E1B332B" w14:textId="77777777" w:rsidR="00000000" w:rsidRDefault="00FB13B6">
      <w:pPr>
        <w:pStyle w:val="Normal"/>
        <w:spacing w:before="0" w:after="0"/>
        <w:ind w:firstLine="709"/>
        <w:jc w:val="both"/>
      </w:pPr>
      <w:r>
        <w:t>Нарушение здоровья тесно связано с ростом числа общесоматических заб</w:t>
      </w:r>
      <w:r>
        <w:t>о</w:t>
      </w:r>
      <w:r>
        <w:t>леваний. Пусть здоровье – это состояние организма, которое можно охарактеризовать соответс</w:t>
      </w:r>
      <w:r>
        <w:t>т</w:t>
      </w:r>
      <w:r>
        <w:t>вующими уровнями физических и умственных спосо</w:t>
      </w:r>
      <w:r>
        <w:t>б</w:t>
      </w:r>
      <w:r>
        <w:t>ностей, а также возможностями</w:t>
      </w:r>
      <w:r>
        <w:t xml:space="preserve"> приспособления к меняющимся условиям работы и жизни. В этом случае в понятие «н</w:t>
      </w:r>
      <w:r>
        <w:t>а</w:t>
      </w:r>
      <w:r>
        <w:t>рушение здоровья» входит сн</w:t>
      </w:r>
      <w:r>
        <w:t>и</w:t>
      </w:r>
      <w:r>
        <w:t>жение функциональных способностей организма. Для оценки нарушения здоровья, а вместе с этим и для прогноза роста заболеваний, примен</w:t>
      </w:r>
      <w:r>
        <w:t>я</w:t>
      </w:r>
      <w:r>
        <w:t>ют критерии из</w:t>
      </w:r>
      <w:r>
        <w:t>менения гематологических, биохимических и морфологических параме</w:t>
      </w:r>
      <w:r>
        <w:t>т</w:t>
      </w:r>
      <w:r>
        <w:t>ров организма, которые имеют количественные лабораторные оценки, и эти изменения могут быть результатом неблагоприятного воздействия факторов на различные физиол</w:t>
      </w:r>
      <w:r>
        <w:t>о</w:t>
      </w:r>
      <w:r>
        <w:t>гические системы.</w:t>
      </w:r>
    </w:p>
    <w:p w14:paraId="7486F646" w14:textId="77777777" w:rsidR="00000000" w:rsidRDefault="00FB13B6">
      <w:pPr>
        <w:pStyle w:val="Normal"/>
        <w:spacing w:before="0" w:after="0"/>
        <w:ind w:firstLine="709"/>
        <w:jc w:val="both"/>
      </w:pPr>
      <w:r>
        <w:t xml:space="preserve">Рассмотрим </w:t>
      </w:r>
      <w:r>
        <w:t>клинические проявления, которые возникают у практически зд</w:t>
      </w:r>
      <w:r>
        <w:t>о</w:t>
      </w:r>
      <w:r>
        <w:t>рового человека при действии малых доз ионизирующего излучения на примере медицинских и дозиметрических исследований заболеваемости ли</w:t>
      </w:r>
      <w:r>
        <w:t>к</w:t>
      </w:r>
      <w:r>
        <w:t>видаторов аварии на ЧАЭС по данным Российского государственног</w:t>
      </w:r>
      <w:r>
        <w:t>о мед</w:t>
      </w:r>
      <w:r>
        <w:t>и</w:t>
      </w:r>
      <w:r>
        <w:t>ко-дозиметрического регистра.</w:t>
      </w:r>
    </w:p>
    <w:p w14:paraId="78A2CCCB" w14:textId="77777777" w:rsidR="00000000" w:rsidRDefault="00FB13B6">
      <w:pPr>
        <w:pStyle w:val="Normal"/>
        <w:spacing w:before="0" w:after="0"/>
        <w:ind w:firstLine="709"/>
        <w:jc w:val="both"/>
      </w:pPr>
      <w:r>
        <w:rPr>
          <w:b/>
        </w:rPr>
        <w:t xml:space="preserve">Таблица 2.  </w:t>
      </w:r>
      <w:r>
        <w:t>Показатели заболеваемости на 100 тыс. человек в 1993 году по осно</w:t>
      </w:r>
      <w:r>
        <w:t>в</w:t>
      </w:r>
      <w:r>
        <w:t xml:space="preserve">ным классам болезней среди ликвидаторов различных дозовых групп и населения России в целом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1509"/>
        <w:gridCol w:w="960"/>
        <w:gridCol w:w="1152"/>
        <w:gridCol w:w="1344"/>
      </w:tblGrid>
      <w:tr w:rsidR="00000000" w14:paraId="6A13F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51" w:type="dxa"/>
            <w:vMerge w:val="restart"/>
            <w:vAlign w:val="center"/>
          </w:tcPr>
          <w:p w14:paraId="18978135" w14:textId="77777777" w:rsidR="00000000" w:rsidRDefault="00FB13B6">
            <w:pPr>
              <w:pStyle w:val="Normal"/>
              <w:spacing w:before="0" w:after="0"/>
              <w:jc w:val="center"/>
              <w:rPr>
                <w:b/>
              </w:rPr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rStyle w:val="HTML"/>
              </w:rPr>
              <w:t>&lt;TBODY&gt;</w:t>
            </w:r>
            <w:r>
              <w:rPr>
                <w:b/>
              </w:rPr>
              <w:t>Класс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болезней</w:t>
            </w:r>
          </w:p>
        </w:tc>
        <w:tc>
          <w:tcPr>
            <w:tcW w:w="1509" w:type="dxa"/>
            <w:vMerge w:val="restart"/>
            <w:vAlign w:val="center"/>
          </w:tcPr>
          <w:p w14:paraId="074492AB" w14:textId="77777777" w:rsidR="00000000" w:rsidRDefault="00FB13B6">
            <w:pPr>
              <w:pStyle w:val="Normal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Население</w:t>
            </w:r>
            <w:r>
              <w:rPr>
                <w:b/>
              </w:rPr>
              <w:br/>
              <w:t>России</w:t>
            </w:r>
          </w:p>
        </w:tc>
        <w:tc>
          <w:tcPr>
            <w:tcW w:w="3456" w:type="dxa"/>
            <w:gridSpan w:val="3"/>
            <w:vAlign w:val="center"/>
          </w:tcPr>
          <w:p w14:paraId="6CBB5760" w14:textId="77777777" w:rsidR="00000000" w:rsidRDefault="00FB13B6">
            <w:pPr>
              <w:pStyle w:val="Normal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иквидаторы</w:t>
            </w:r>
          </w:p>
        </w:tc>
      </w:tr>
      <w:tr w:rsidR="00000000" w14:paraId="57024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51" w:type="dxa"/>
            <w:vMerge/>
            <w:vAlign w:val="center"/>
          </w:tcPr>
          <w:p w14:paraId="1A5DAA28" w14:textId="77777777" w:rsidR="00000000" w:rsidRDefault="00FB13B6">
            <w:pPr>
              <w:pStyle w:val="Normal"/>
              <w:spacing w:before="0" w:after="0"/>
              <w:jc w:val="both"/>
            </w:pPr>
          </w:p>
        </w:tc>
        <w:tc>
          <w:tcPr>
            <w:tcW w:w="1509" w:type="dxa"/>
            <w:vMerge/>
            <w:vAlign w:val="center"/>
          </w:tcPr>
          <w:p w14:paraId="165576A2" w14:textId="77777777" w:rsidR="00000000" w:rsidRDefault="00FB13B6">
            <w:pPr>
              <w:pStyle w:val="Normal"/>
              <w:spacing w:before="0" w:after="0"/>
              <w:jc w:val="both"/>
            </w:pPr>
          </w:p>
        </w:tc>
        <w:tc>
          <w:tcPr>
            <w:tcW w:w="960" w:type="dxa"/>
            <w:vAlign w:val="center"/>
          </w:tcPr>
          <w:p w14:paraId="67B4DDDF" w14:textId="77777777" w:rsidR="00000000" w:rsidRDefault="00FB13B6">
            <w:pPr>
              <w:pStyle w:val="Normal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0 – 5 сГр</w:t>
            </w:r>
          </w:p>
        </w:tc>
        <w:tc>
          <w:tcPr>
            <w:tcW w:w="1152" w:type="dxa"/>
            <w:vAlign w:val="center"/>
          </w:tcPr>
          <w:p w14:paraId="20B0969F" w14:textId="77777777" w:rsidR="00000000" w:rsidRDefault="00FB13B6">
            <w:pPr>
              <w:pStyle w:val="Normal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5 – 20 сГр</w:t>
            </w:r>
          </w:p>
        </w:tc>
        <w:tc>
          <w:tcPr>
            <w:tcW w:w="1344" w:type="dxa"/>
            <w:vAlign w:val="center"/>
          </w:tcPr>
          <w:p w14:paraId="318F06BD" w14:textId="77777777" w:rsidR="00000000" w:rsidRDefault="00FB13B6">
            <w:pPr>
              <w:pStyle w:val="Normal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Более 20сГр</w:t>
            </w:r>
          </w:p>
        </w:tc>
      </w:tr>
      <w:tr w:rsidR="00000000" w14:paraId="3C495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1" w:type="dxa"/>
            <w:vAlign w:val="center"/>
          </w:tcPr>
          <w:p w14:paraId="0D00F896" w14:textId="77777777" w:rsidR="00000000" w:rsidRDefault="00FB13B6">
            <w:pPr>
              <w:pStyle w:val="Normal"/>
              <w:spacing w:before="0" w:after="0"/>
              <w:jc w:val="both"/>
            </w:pPr>
            <w:r>
              <w:t>Болезни эндокринной системы</w:t>
            </w:r>
          </w:p>
        </w:tc>
        <w:tc>
          <w:tcPr>
            <w:tcW w:w="1509" w:type="dxa"/>
            <w:vAlign w:val="center"/>
          </w:tcPr>
          <w:p w14:paraId="794D41D8" w14:textId="77777777" w:rsidR="00000000" w:rsidRDefault="00FB13B6">
            <w:pPr>
              <w:pStyle w:val="Normal"/>
              <w:spacing w:before="0" w:after="0"/>
              <w:jc w:val="center"/>
            </w:pPr>
            <w:r>
              <w:t>327</w:t>
            </w:r>
          </w:p>
        </w:tc>
        <w:tc>
          <w:tcPr>
            <w:tcW w:w="960" w:type="dxa"/>
            <w:vAlign w:val="center"/>
          </w:tcPr>
          <w:p w14:paraId="23E3F3E1" w14:textId="77777777" w:rsidR="00000000" w:rsidRDefault="00FB13B6">
            <w:pPr>
              <w:pStyle w:val="Normal"/>
              <w:spacing w:before="0" w:after="0"/>
              <w:jc w:val="center"/>
            </w:pPr>
            <w:r>
              <w:t>5170</w:t>
            </w:r>
          </w:p>
        </w:tc>
        <w:tc>
          <w:tcPr>
            <w:tcW w:w="1152" w:type="dxa"/>
            <w:vAlign w:val="center"/>
          </w:tcPr>
          <w:p w14:paraId="7B0FD4AE" w14:textId="77777777" w:rsidR="00000000" w:rsidRDefault="00FB13B6">
            <w:pPr>
              <w:pStyle w:val="Normal"/>
              <w:spacing w:before="0" w:after="0"/>
              <w:jc w:val="center"/>
            </w:pPr>
            <w:r>
              <w:t>6120*</w:t>
            </w:r>
          </w:p>
        </w:tc>
        <w:tc>
          <w:tcPr>
            <w:tcW w:w="1344" w:type="dxa"/>
            <w:vAlign w:val="center"/>
          </w:tcPr>
          <w:p w14:paraId="295EFE2A" w14:textId="77777777" w:rsidR="00000000" w:rsidRDefault="00FB13B6">
            <w:pPr>
              <w:pStyle w:val="Normal"/>
              <w:spacing w:before="0" w:after="0"/>
              <w:jc w:val="center"/>
            </w:pPr>
            <w:r>
              <w:t>6075*</w:t>
            </w:r>
          </w:p>
        </w:tc>
      </w:tr>
      <w:tr w:rsidR="00000000" w14:paraId="6C7DA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1" w:type="dxa"/>
            <w:vAlign w:val="center"/>
          </w:tcPr>
          <w:p w14:paraId="65318BB0" w14:textId="77777777" w:rsidR="00000000" w:rsidRDefault="00FB13B6">
            <w:pPr>
              <w:pStyle w:val="Normal"/>
              <w:spacing w:before="0" w:after="0"/>
              <w:jc w:val="both"/>
            </w:pPr>
            <w:r>
              <w:t>Болезни крови и кроветворных органов</w:t>
            </w:r>
          </w:p>
        </w:tc>
        <w:tc>
          <w:tcPr>
            <w:tcW w:w="1509" w:type="dxa"/>
            <w:vAlign w:val="center"/>
          </w:tcPr>
          <w:p w14:paraId="38C8C01F" w14:textId="77777777" w:rsidR="00000000" w:rsidRDefault="00FB13B6">
            <w:pPr>
              <w:pStyle w:val="Normal"/>
              <w:spacing w:before="0" w:after="0"/>
              <w:jc w:val="center"/>
            </w:pPr>
            <w:r>
              <w:t>94</w:t>
            </w:r>
          </w:p>
        </w:tc>
        <w:tc>
          <w:tcPr>
            <w:tcW w:w="960" w:type="dxa"/>
            <w:vAlign w:val="center"/>
          </w:tcPr>
          <w:p w14:paraId="087F2F4B" w14:textId="77777777" w:rsidR="00000000" w:rsidRDefault="00FB13B6">
            <w:pPr>
              <w:pStyle w:val="Normal"/>
              <w:spacing w:before="0" w:after="0"/>
              <w:jc w:val="center"/>
            </w:pPr>
            <w:r>
              <w:t>213</w:t>
            </w:r>
          </w:p>
        </w:tc>
        <w:tc>
          <w:tcPr>
            <w:tcW w:w="1152" w:type="dxa"/>
            <w:vAlign w:val="center"/>
          </w:tcPr>
          <w:p w14:paraId="12461568" w14:textId="77777777" w:rsidR="00000000" w:rsidRDefault="00FB13B6">
            <w:pPr>
              <w:pStyle w:val="Normal"/>
              <w:spacing w:before="0" w:after="0"/>
              <w:jc w:val="center"/>
            </w:pPr>
            <w:r>
              <w:t>354*</w:t>
            </w:r>
          </w:p>
        </w:tc>
        <w:tc>
          <w:tcPr>
            <w:tcW w:w="1344" w:type="dxa"/>
            <w:vAlign w:val="center"/>
          </w:tcPr>
          <w:p w14:paraId="25B0035C" w14:textId="77777777" w:rsidR="00000000" w:rsidRDefault="00FB13B6">
            <w:pPr>
              <w:pStyle w:val="Normal"/>
              <w:spacing w:before="0" w:after="0"/>
              <w:jc w:val="center"/>
            </w:pPr>
            <w:r>
              <w:t>450*</w:t>
            </w:r>
          </w:p>
        </w:tc>
      </w:tr>
      <w:tr w:rsidR="00000000" w14:paraId="03BBB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1" w:type="dxa"/>
            <w:vAlign w:val="center"/>
          </w:tcPr>
          <w:p w14:paraId="2C48C611" w14:textId="77777777" w:rsidR="00000000" w:rsidRDefault="00FB13B6">
            <w:pPr>
              <w:pStyle w:val="Normal"/>
              <w:spacing w:before="0" w:after="0"/>
              <w:jc w:val="both"/>
            </w:pPr>
            <w:r>
              <w:t>Психические</w:t>
            </w:r>
            <w:r>
              <w:rPr>
                <w:lang w:val="en-US"/>
              </w:rPr>
              <w:t xml:space="preserve"> </w:t>
            </w:r>
            <w:r>
              <w:t>расстройства</w:t>
            </w:r>
          </w:p>
        </w:tc>
        <w:tc>
          <w:tcPr>
            <w:tcW w:w="1509" w:type="dxa"/>
            <w:vAlign w:val="center"/>
          </w:tcPr>
          <w:p w14:paraId="7EE352D0" w14:textId="77777777" w:rsidR="00000000" w:rsidRDefault="00FB13B6">
            <w:pPr>
              <w:pStyle w:val="Normal"/>
              <w:spacing w:before="0" w:after="0"/>
              <w:jc w:val="center"/>
            </w:pPr>
            <w:r>
              <w:t>599</w:t>
            </w:r>
          </w:p>
        </w:tc>
        <w:tc>
          <w:tcPr>
            <w:tcW w:w="960" w:type="dxa"/>
            <w:vAlign w:val="center"/>
          </w:tcPr>
          <w:p w14:paraId="71ECF131" w14:textId="77777777" w:rsidR="00000000" w:rsidRDefault="00FB13B6">
            <w:pPr>
              <w:pStyle w:val="Normal"/>
              <w:spacing w:before="0" w:after="0"/>
              <w:jc w:val="center"/>
            </w:pPr>
            <w:r>
              <w:t>5178</w:t>
            </w:r>
          </w:p>
        </w:tc>
        <w:tc>
          <w:tcPr>
            <w:tcW w:w="1152" w:type="dxa"/>
            <w:vAlign w:val="center"/>
          </w:tcPr>
          <w:p w14:paraId="29EDD9EA" w14:textId="77777777" w:rsidR="00000000" w:rsidRDefault="00FB13B6">
            <w:pPr>
              <w:pStyle w:val="Normal"/>
              <w:spacing w:before="0" w:after="0"/>
              <w:jc w:val="center"/>
            </w:pPr>
            <w:r>
              <w:t>5490</w:t>
            </w:r>
          </w:p>
        </w:tc>
        <w:tc>
          <w:tcPr>
            <w:tcW w:w="1344" w:type="dxa"/>
            <w:vAlign w:val="center"/>
          </w:tcPr>
          <w:p w14:paraId="24CDBC41" w14:textId="77777777" w:rsidR="00000000" w:rsidRDefault="00FB13B6">
            <w:pPr>
              <w:pStyle w:val="Normal"/>
              <w:spacing w:before="0" w:after="0"/>
              <w:jc w:val="center"/>
            </w:pPr>
            <w:r>
              <w:t>5472</w:t>
            </w:r>
          </w:p>
        </w:tc>
      </w:tr>
      <w:tr w:rsidR="00000000" w14:paraId="65DDB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1" w:type="dxa"/>
            <w:vAlign w:val="center"/>
          </w:tcPr>
          <w:p w14:paraId="54B68880" w14:textId="77777777" w:rsidR="00000000" w:rsidRDefault="00FB13B6">
            <w:pPr>
              <w:pStyle w:val="Normal"/>
              <w:spacing w:before="0" w:after="0"/>
              <w:jc w:val="both"/>
            </w:pPr>
            <w:r>
              <w:t>Болезни органов кровообращения</w:t>
            </w:r>
          </w:p>
        </w:tc>
        <w:tc>
          <w:tcPr>
            <w:tcW w:w="1509" w:type="dxa"/>
            <w:vAlign w:val="center"/>
          </w:tcPr>
          <w:p w14:paraId="799F791A" w14:textId="77777777" w:rsidR="00000000" w:rsidRDefault="00FB13B6">
            <w:pPr>
              <w:pStyle w:val="Normal"/>
              <w:spacing w:before="0" w:after="0"/>
              <w:jc w:val="center"/>
            </w:pPr>
            <w:r>
              <w:t>1472</w:t>
            </w:r>
          </w:p>
        </w:tc>
        <w:tc>
          <w:tcPr>
            <w:tcW w:w="960" w:type="dxa"/>
            <w:vAlign w:val="center"/>
          </w:tcPr>
          <w:p w14:paraId="75F5DC25" w14:textId="77777777" w:rsidR="00000000" w:rsidRDefault="00FB13B6">
            <w:pPr>
              <w:pStyle w:val="Normal"/>
              <w:spacing w:before="0" w:after="0"/>
              <w:jc w:val="center"/>
            </w:pPr>
            <w:r>
              <w:t>5287</w:t>
            </w:r>
          </w:p>
        </w:tc>
        <w:tc>
          <w:tcPr>
            <w:tcW w:w="1152" w:type="dxa"/>
            <w:vAlign w:val="center"/>
          </w:tcPr>
          <w:p w14:paraId="740B6176" w14:textId="77777777" w:rsidR="00000000" w:rsidRDefault="00FB13B6">
            <w:pPr>
              <w:pStyle w:val="Normal"/>
              <w:spacing w:before="0" w:after="0"/>
              <w:jc w:val="center"/>
            </w:pPr>
            <w:r>
              <w:t>6090*</w:t>
            </w:r>
          </w:p>
        </w:tc>
        <w:tc>
          <w:tcPr>
            <w:tcW w:w="1344" w:type="dxa"/>
            <w:vAlign w:val="center"/>
          </w:tcPr>
          <w:p w14:paraId="73A6ECF7" w14:textId="77777777" w:rsidR="00000000" w:rsidRDefault="00FB13B6">
            <w:pPr>
              <w:pStyle w:val="Normal"/>
              <w:spacing w:before="0" w:after="0"/>
              <w:jc w:val="center"/>
            </w:pPr>
            <w:r>
              <w:t>6648**</w:t>
            </w:r>
          </w:p>
        </w:tc>
      </w:tr>
      <w:tr w:rsidR="00000000" w14:paraId="0E6B7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1" w:type="dxa"/>
            <w:vAlign w:val="center"/>
          </w:tcPr>
          <w:p w14:paraId="06EB07A5" w14:textId="77777777" w:rsidR="00000000" w:rsidRDefault="00FB13B6">
            <w:pPr>
              <w:pStyle w:val="Normal"/>
              <w:spacing w:before="0" w:after="0"/>
              <w:jc w:val="both"/>
            </w:pPr>
            <w:r>
              <w:t>Бол</w:t>
            </w:r>
            <w:r>
              <w:t>езни органов пищеварения</w:t>
            </w:r>
          </w:p>
        </w:tc>
        <w:tc>
          <w:tcPr>
            <w:tcW w:w="1509" w:type="dxa"/>
            <w:vAlign w:val="center"/>
          </w:tcPr>
          <w:p w14:paraId="0190F426" w14:textId="77777777" w:rsidR="00000000" w:rsidRDefault="00FB13B6">
            <w:pPr>
              <w:pStyle w:val="Normal"/>
              <w:spacing w:before="0" w:after="0"/>
              <w:jc w:val="center"/>
            </w:pPr>
            <w:r>
              <w:t>2535</w:t>
            </w:r>
          </w:p>
        </w:tc>
        <w:tc>
          <w:tcPr>
            <w:tcW w:w="960" w:type="dxa"/>
            <w:vAlign w:val="center"/>
          </w:tcPr>
          <w:p w14:paraId="30F319EA" w14:textId="77777777" w:rsidR="00000000" w:rsidRDefault="00FB13B6">
            <w:pPr>
              <w:pStyle w:val="Normal"/>
              <w:spacing w:before="0" w:after="0"/>
              <w:jc w:val="center"/>
            </w:pPr>
            <w:r>
              <w:t>9106</w:t>
            </w:r>
          </w:p>
        </w:tc>
        <w:tc>
          <w:tcPr>
            <w:tcW w:w="1152" w:type="dxa"/>
            <w:vAlign w:val="center"/>
          </w:tcPr>
          <w:p w14:paraId="7936041E" w14:textId="77777777" w:rsidR="00000000" w:rsidRDefault="00FB13B6">
            <w:pPr>
              <w:pStyle w:val="Normal"/>
              <w:spacing w:before="0" w:after="0"/>
              <w:jc w:val="center"/>
            </w:pPr>
            <w:r>
              <w:t>9743</w:t>
            </w:r>
          </w:p>
        </w:tc>
        <w:tc>
          <w:tcPr>
            <w:tcW w:w="1344" w:type="dxa"/>
            <w:vAlign w:val="center"/>
          </w:tcPr>
          <w:p w14:paraId="2848DDA3" w14:textId="77777777" w:rsidR="00000000" w:rsidRDefault="00FB13B6">
            <w:pPr>
              <w:pStyle w:val="Normal"/>
              <w:spacing w:before="0" w:after="0"/>
              <w:jc w:val="center"/>
            </w:pPr>
            <w:r>
              <w:t xml:space="preserve">9515 </w:t>
            </w:r>
            <w:r>
              <w:rPr>
                <w:rStyle w:val="HTML"/>
              </w:rPr>
              <w:t>&lt;/TBODY&gt;</w:t>
            </w:r>
          </w:p>
        </w:tc>
      </w:tr>
    </w:tbl>
    <w:p w14:paraId="4B326C6B" w14:textId="77777777" w:rsidR="00000000" w:rsidRDefault="00FB13B6">
      <w:pPr>
        <w:pStyle w:val="Normal"/>
        <w:spacing w:before="0" w:after="0"/>
        <w:ind w:firstLine="709"/>
        <w:jc w:val="both"/>
      </w:pPr>
      <w:r>
        <w:t>Примечания:</w:t>
      </w:r>
      <w:r>
        <w:br/>
        <w:t>* - показатели, достоверно отличающиеся от соответствующих показателей в дозовой группе 0 - 5 сГр;</w:t>
      </w:r>
      <w:r>
        <w:br/>
        <w:t xml:space="preserve">** - те же различия с дозовой группой 5 - 20 сГр.  </w:t>
      </w:r>
    </w:p>
    <w:p w14:paraId="687627D9" w14:textId="77777777" w:rsidR="00000000" w:rsidRDefault="00FB13B6">
      <w:pPr>
        <w:pStyle w:val="Normal"/>
        <w:spacing w:before="0" w:after="0"/>
        <w:ind w:firstLine="709"/>
        <w:jc w:val="both"/>
      </w:pPr>
      <w:r>
        <w:t>В таблице представлены показатели забо</w:t>
      </w:r>
      <w:r>
        <w:t>леваемости на 100 тыс. человек в 1993 г. по основным классам болезней среди ликвидаторов различных доз</w:t>
      </w:r>
      <w:r>
        <w:t>о</w:t>
      </w:r>
      <w:r>
        <w:t>вых групп и населения России в целом. Из данных таблицы видно, что показатели заболеваемости среди ликв</w:t>
      </w:r>
      <w:r>
        <w:t>и</w:t>
      </w:r>
      <w:r>
        <w:t>даторов превышают таковые для населения России. Р</w:t>
      </w:r>
      <w:r>
        <w:t>ост заболеваемости (сумма забол</w:t>
      </w:r>
      <w:r>
        <w:t>е</w:t>
      </w:r>
      <w:r>
        <w:t>ваний по классам болезней) по группам ликвидаторов составляет соответственно 20; 22,8 и 23,2 %. Э</w:t>
      </w:r>
      <w:r>
        <w:t>ф</w:t>
      </w:r>
      <w:r>
        <w:t>фективная доза D</w:t>
      </w:r>
      <w:r>
        <w:rPr>
          <w:vertAlign w:val="subscript"/>
        </w:rPr>
        <w:t>эф</w:t>
      </w:r>
      <w:r>
        <w:t xml:space="preserve"> рассчитывалась из предположения, что ликвидаторы на ЧАЭС подвергались равномерному облучению в течение трех</w:t>
      </w:r>
      <w:r>
        <w:t xml:space="preserve"> - шести месяцев. Мы счит</w:t>
      </w:r>
      <w:r>
        <w:t>а</w:t>
      </w:r>
      <w:r>
        <w:t>ем, что столь высокий рост заболеваний объясняется тем, что уровень, полнота и качество диспансеризации ликвидаторов значительно о</w:t>
      </w:r>
      <w:r>
        <w:t>т</w:t>
      </w:r>
      <w:r>
        <w:t xml:space="preserve">личаются от общероссийской практики. </w:t>
      </w:r>
      <w:r>
        <w:lastRenderedPageBreak/>
        <w:t>Поэтому группу, получившую дозу 0 - 5 сГр (D</w:t>
      </w:r>
      <w:r>
        <w:rPr>
          <w:vertAlign w:val="subscript"/>
        </w:rPr>
        <w:t>эф</w:t>
      </w:r>
      <w:r>
        <w:t xml:space="preserve"> </w:t>
      </w:r>
      <w:r>
        <w:sym w:font="Symbol" w:char="F0A3"/>
      </w:r>
      <w:r>
        <w:t xml:space="preserve"> 2 сГр), мы пр</w:t>
      </w:r>
      <w:r>
        <w:t>инимаем в качестве ко</w:t>
      </w:r>
      <w:r>
        <w:t>н</w:t>
      </w:r>
      <w:r>
        <w:t>трольной группы сравн</w:t>
      </w:r>
      <w:r>
        <w:t>е</w:t>
      </w:r>
      <w:r>
        <w:t>ния. Из данных таблицы следует, что во второй и третьей группе имеет место достоверный рост заболеваний примерно на 3 %. Этим группам с дозой обл</w:t>
      </w:r>
      <w:r>
        <w:t>у</w:t>
      </w:r>
      <w:r>
        <w:t>чения 20 - 35 сГр D</w:t>
      </w:r>
      <w:r>
        <w:rPr>
          <w:vertAlign w:val="subscript"/>
        </w:rPr>
        <w:t>эф</w:t>
      </w:r>
      <w:r>
        <w:t xml:space="preserve"> соответствует 7 - 11 сГр, то есть у части ли</w:t>
      </w:r>
      <w:r>
        <w:t>ц она несколько прев</w:t>
      </w:r>
      <w:r>
        <w:t>ы</w:t>
      </w:r>
      <w:r>
        <w:t>шала условный порог (D</w:t>
      </w:r>
      <w:r>
        <w:rPr>
          <w:vertAlign w:val="subscript"/>
        </w:rPr>
        <w:t>эф</w:t>
      </w:r>
      <w:r>
        <w:t>=8 сГр). Нарушение здоровья есть нестохастический эффект. При достижении пороговой дозы он выя</w:t>
      </w:r>
      <w:r>
        <w:t>в</w:t>
      </w:r>
      <w:r>
        <w:t>ляется у части лиц (до 5 %). На этом основании мы принимаем D</w:t>
      </w:r>
      <w:r>
        <w:rPr>
          <w:vertAlign w:val="subscript"/>
        </w:rPr>
        <w:t>эф</w:t>
      </w:r>
      <w:r>
        <w:t>=8 сГр за порог н</w:t>
      </w:r>
      <w:r>
        <w:t>а</w:t>
      </w:r>
      <w:r>
        <w:t>рушения здоровья.</w:t>
      </w:r>
      <w:r>
        <w:br/>
        <w:t>  Имеющиеся в лит</w:t>
      </w:r>
      <w:r>
        <w:t>ературе клинические данные об изменениях в основных регуляторных системах организма при действии ионизирующего излучения в дозах, не вызывающих острую или хроническую лучевую болезнь, указывают на то, что функциональные изм</w:t>
      </w:r>
      <w:r>
        <w:t>е</w:t>
      </w:r>
      <w:r>
        <w:t>нения деятельности основных физи</w:t>
      </w:r>
      <w:r>
        <w:t>ологических систем чаще всего носят полисиндро</w:t>
      </w:r>
      <w:r>
        <w:t>м</w:t>
      </w:r>
      <w:r>
        <w:t>ный характер. Это проявляе</w:t>
      </w:r>
      <w:r>
        <w:t>т</w:t>
      </w:r>
      <w:r>
        <w:t>ся в первичных функциональных отклонениях на уровне многих физиологических систем организма, развитию донозологических состояний, пер</w:t>
      </w:r>
      <w:r>
        <w:t>е</w:t>
      </w:r>
      <w:r>
        <w:t>ходящих с ростом дозы к клинической патологии. К</w:t>
      </w:r>
      <w:r>
        <w:t>ак показывает анализ забол</w:t>
      </w:r>
      <w:r>
        <w:t>е</w:t>
      </w:r>
      <w:r>
        <w:t>ваемости ликвидаторов аварии на ЧАЭС, при дозах более 5 сГр через четыре года имеет место до</w:t>
      </w:r>
      <w:r>
        <w:t>с</w:t>
      </w:r>
      <w:r>
        <w:t>товерный рост заболеваний по следующим классам б</w:t>
      </w:r>
      <w:r>
        <w:t>о</w:t>
      </w:r>
      <w:r>
        <w:t>лезней: болезни нервной системы, психические расстройства, болезни крови и кроветворных</w:t>
      </w:r>
      <w:r>
        <w:t xml:space="preserve"> органов, болезни органов п</w:t>
      </w:r>
      <w:r>
        <w:t>и</w:t>
      </w:r>
      <w:r>
        <w:t>щеварения. По другим классам болезней различия в показателях заболеваемости не выя</w:t>
      </w:r>
      <w:r>
        <w:t>в</w:t>
      </w:r>
      <w:r>
        <w:t>лены.</w:t>
      </w:r>
      <w:r>
        <w:br/>
        <w:t>  Рассмотрим данные о состоянии различных систем организма у лиц, подвергшихся обл</w:t>
      </w:r>
      <w:r>
        <w:t>у</w:t>
      </w:r>
      <w:r>
        <w:t>чению в малых дозах, и на этой основе попытаемся установ</w:t>
      </w:r>
      <w:r>
        <w:t>ить, к каким клиническим п</w:t>
      </w:r>
      <w:r>
        <w:t>о</w:t>
      </w:r>
      <w:r>
        <w:t>следствиям приводит облучение в установле</w:t>
      </w:r>
      <w:r>
        <w:t>н</w:t>
      </w:r>
      <w:r>
        <w:t>ных выше диапазонах дозы.</w:t>
      </w:r>
      <w:r>
        <w:br/>
        <w:t>  В структуре неврологической заболеваемости особое место занимает синдром вегетати</w:t>
      </w:r>
      <w:r>
        <w:t>в</w:t>
      </w:r>
      <w:r>
        <w:t>ной дистонии. Стойкие и выраженные нарушений вегетати</w:t>
      </w:r>
      <w:r>
        <w:t>в</w:t>
      </w:r>
      <w:r>
        <w:t xml:space="preserve">ной регуляции выявлены </w:t>
      </w:r>
      <w:r>
        <w:t>при дозе внешнего облучения выше 25 - 50 сГр. Психологические и психосоциальные скр</w:t>
      </w:r>
      <w:r>
        <w:t>и</w:t>
      </w:r>
      <w:r>
        <w:t>нинговые исследования больших контингентов пострадавших вследствие аварии на ЧАЭС выявили универсальную реакцию в виде повышения тревожности как устойчивой личн</w:t>
      </w:r>
      <w:r>
        <w:t>о</w:t>
      </w:r>
      <w:r>
        <w:t>стной черты</w:t>
      </w:r>
      <w:r>
        <w:t>, характерной для состояния стресса со всеми его тремя компонентами: сом</w:t>
      </w:r>
      <w:r>
        <w:t>а</w:t>
      </w:r>
      <w:r>
        <w:t>тическим, эмоционально-волевым, поведенческим. При этом отмечается ускорение пер</w:t>
      </w:r>
      <w:r>
        <w:t>е</w:t>
      </w:r>
      <w:r>
        <w:t>хода психофизиологических расстройств в стойкие психосоматические у 30 % обслед</w:t>
      </w:r>
      <w:r>
        <w:t>о</w:t>
      </w:r>
      <w:r>
        <w:t>ванных. Анализ клиниче</w:t>
      </w:r>
      <w:r>
        <w:t>ских данных обследованных лиц с установленными дозовыми н</w:t>
      </w:r>
      <w:r>
        <w:t>а</w:t>
      </w:r>
      <w:r>
        <w:t>грузками пок</w:t>
      </w:r>
      <w:r>
        <w:t>а</w:t>
      </w:r>
      <w:r>
        <w:t>зывает, что при облучении в диапазоне дозы от 5 - 15 сГр до 25 - 50 сГр психофизиологические и психологические изменения можно рассматривать как функци</w:t>
      </w:r>
      <w:r>
        <w:t>о</w:t>
      </w:r>
      <w:r>
        <w:t>нальный или рефлекторный ответ не</w:t>
      </w:r>
      <w:r>
        <w:t>рвной системы в виде неспецифической ориентир</w:t>
      </w:r>
      <w:r>
        <w:t>о</w:t>
      </w:r>
      <w:r>
        <w:t>вочной реакции при восприятии облучения как раздражителя. При больших дозовых н</w:t>
      </w:r>
      <w:r>
        <w:t>а</w:t>
      </w:r>
      <w:r>
        <w:t>грузках (от 60 до 100 - 200 сГр) физиологическая реа</w:t>
      </w:r>
      <w:r>
        <w:t>к</w:t>
      </w:r>
      <w:r>
        <w:t>ция трансформируется в реакцию повреждения. Набл</w:t>
      </w:r>
      <w:r>
        <w:t>ю</w:t>
      </w:r>
      <w:r>
        <w:t>даемую реакцию нервной систе</w:t>
      </w:r>
      <w:r>
        <w:t>мы на ионизирующее излучение можно оценить как дизрегул</w:t>
      </w:r>
      <w:r>
        <w:t>я</w:t>
      </w:r>
      <w:r>
        <w:t>торный синдром, который в свою очередь модифицирует клиническое теч</w:t>
      </w:r>
      <w:r>
        <w:t>е</w:t>
      </w:r>
      <w:r>
        <w:t>ние ранее существовавшей патологии, способствует более торпидному ее т</w:t>
      </w:r>
      <w:r>
        <w:t>е</w:t>
      </w:r>
      <w:r>
        <w:t>чению и снижает в ряде случае эффективность терапии.</w:t>
      </w:r>
      <w:r>
        <w:br/>
        <w:t>  Гемато</w:t>
      </w:r>
      <w:r>
        <w:t>логический мониторинг показывает, что признаки функциональной дезорганиз</w:t>
      </w:r>
      <w:r>
        <w:t>а</w:t>
      </w:r>
      <w:r>
        <w:t>ции в системе гомеостаза и морфофункциональных свойств кл</w:t>
      </w:r>
      <w:r>
        <w:t>е</w:t>
      </w:r>
      <w:r>
        <w:t>ток крови выявляются при воздействии ионизирующего излучения в дозе п</w:t>
      </w:r>
      <w:r>
        <w:t>о</w:t>
      </w:r>
      <w:r>
        <w:t xml:space="preserve">рядка 5 - 30 сГр. Такого рода изменения по отношению к </w:t>
      </w:r>
      <w:r>
        <w:t>контрольной группе находятся в пределах физиологических колебаний и нормализуются в теч</w:t>
      </w:r>
      <w:r>
        <w:t>е</w:t>
      </w:r>
      <w:r>
        <w:t>ние шести месяцев. При исследовании периферической крови лиц, работавших в 30 км зоне ЧАЭС, в 11 % случаев выявлена преходящая и стойкая лейкоп</w:t>
      </w:r>
      <w:r>
        <w:t>е</w:t>
      </w:r>
      <w:r>
        <w:t>ния при поглощенной дозе</w:t>
      </w:r>
      <w:r>
        <w:t xml:space="preserve"> порядка 36 - 72 сГр. Изучение состояния здоровья этих лиц п</w:t>
      </w:r>
      <w:r>
        <w:t>о</w:t>
      </w:r>
      <w:r>
        <w:t>зволяет выделить их в группу риска развития гематолог</w:t>
      </w:r>
      <w:r>
        <w:t>и</w:t>
      </w:r>
      <w:r>
        <w:t>ческих заболеваний. Изучение особенностей течения острой лучевой болезни пострадавших с относительно равноме</w:t>
      </w:r>
      <w:r>
        <w:t>р</w:t>
      </w:r>
      <w:r>
        <w:t>ным облучением показало, что при</w:t>
      </w:r>
      <w:r>
        <w:t xml:space="preserve"> дозе около 1 Гр постлучевая динамика клеток крови выражена минимально. Острая лучевая болезнь (ОЛБ) первой степени тяжести (доза о</w:t>
      </w:r>
      <w:r>
        <w:t>б</w:t>
      </w:r>
      <w:r>
        <w:t>лучения 1 - 2 Гр) характеризовалась только клинико-лабораторными находками и умере</w:t>
      </w:r>
      <w:r>
        <w:t>н</w:t>
      </w:r>
      <w:r>
        <w:lastRenderedPageBreak/>
        <w:t xml:space="preserve">ными астеническими последствиями. Однако </w:t>
      </w:r>
      <w:r>
        <w:t>необходимо отметить, что при ретроспе</w:t>
      </w:r>
      <w:r>
        <w:t>к</w:t>
      </w:r>
      <w:r>
        <w:t>тивном анализе гематологических показателей (по факту волнообразного снижения не</w:t>
      </w:r>
      <w:r>
        <w:t>й</w:t>
      </w:r>
      <w:r>
        <w:t>трофилов и тромбоцитов) выявлена группа пострада</w:t>
      </w:r>
      <w:r>
        <w:t>в</w:t>
      </w:r>
      <w:r>
        <w:t>ших с зарегистрированной дозой 50 - 75 сГр. Однако избыточная заболева</w:t>
      </w:r>
      <w:r>
        <w:t>е</w:t>
      </w:r>
      <w:r>
        <w:t>мость болезнями к</w:t>
      </w:r>
      <w:r>
        <w:t>рови и кроветворных органов у профессионалов - ликвидаторов аварии на ЧАЭС не была выявл</w:t>
      </w:r>
      <w:r>
        <w:t>е</w:t>
      </w:r>
      <w:r>
        <w:t>на.</w:t>
      </w:r>
      <w:r>
        <w:br/>
        <w:t>  Результаты многолетнего изучения иммунитета у населения Южного Урала, подвергш</w:t>
      </w:r>
      <w:r>
        <w:t>е</w:t>
      </w:r>
      <w:r>
        <w:t>гося облучению в дозе 10 - 85 сГр (средние значения), указывают на изменения в имм</w:t>
      </w:r>
      <w:r>
        <w:t>у</w:t>
      </w:r>
      <w:r>
        <w:t>н</w:t>
      </w:r>
      <w:r>
        <w:t>ной системе. Через два - четыре года наблюдалось у</w:t>
      </w:r>
      <w:r>
        <w:t>г</w:t>
      </w:r>
      <w:r>
        <w:t>нетение фагоцитарной активности нейтрофилов крови, снижение содержания лизоцима в слюне, незначительное нарушение продукции а</w:t>
      </w:r>
      <w:r>
        <w:t>н</w:t>
      </w:r>
      <w:r>
        <w:t>тител. Через пять-шесть лет изменения показателей факторов естественного имму</w:t>
      </w:r>
      <w:r>
        <w:t>нитета были менее выраженными. Однако при функциональных нагрузочных пр</w:t>
      </w:r>
      <w:r>
        <w:t>о</w:t>
      </w:r>
      <w:r>
        <w:t>бах выявилось снижение резервной возможности иммунной системы, кот</w:t>
      </w:r>
      <w:r>
        <w:t>о</w:t>
      </w:r>
      <w:r>
        <w:t>рое сохранялось в течение 20 лет.</w:t>
      </w:r>
      <w:r>
        <w:br/>
        <w:t>  Сопоставляя лабораторные показатели и клинические проявления, можно применить раз</w:t>
      </w:r>
      <w:r>
        <w:t>работанные дозовые критерии для оценки изменений интегрального показателя - н</w:t>
      </w:r>
      <w:r>
        <w:t>а</w:t>
      </w:r>
      <w:r>
        <w:t>рушения здоровья, то есть для прогноза возникновения ряда общесоматических заболев</w:t>
      </w:r>
      <w:r>
        <w:t>а</w:t>
      </w:r>
      <w:r>
        <w:t>ний при действии ионизирующего и</w:t>
      </w:r>
      <w:r>
        <w:t>з</w:t>
      </w:r>
      <w:r>
        <w:t>лучения в малых дозах.</w:t>
      </w:r>
      <w:r>
        <w:br/>
        <w:t>  На практике достаточно сложно определ</w:t>
      </w:r>
      <w:r>
        <w:t>ить порог вредного действия, так как трудно провести различия между физиологическими колебаниями, физиологическими процесс</w:t>
      </w:r>
      <w:r>
        <w:t>а</w:t>
      </w:r>
      <w:r>
        <w:t>ми адаптации и патологическими процессами. Так наряду с клинико-эпидемиологическими данными, указывающими на рост общесоматических за</w:t>
      </w:r>
      <w:r>
        <w:t>болеваний при действии малых доз, имеют место исследования, по данным которых рост заболева</w:t>
      </w:r>
      <w:r>
        <w:t>е</w:t>
      </w:r>
      <w:r>
        <w:t>мости не был выявлен. В ч</w:t>
      </w:r>
      <w:r>
        <w:t>а</w:t>
      </w:r>
      <w:r>
        <w:t>стности, данные за 1979 - 1988 гг. о влиянии радиационного фактора риска на распространенность ишемических и геморрагических инсультов в з</w:t>
      </w:r>
      <w:r>
        <w:t>оне предприятий атомной промышленности и работников предприятия, кот</w:t>
      </w:r>
      <w:r>
        <w:t>о</w:t>
      </w:r>
      <w:r>
        <w:t>рые подвергались воздействию внешнего гамма-облучения со средней су</w:t>
      </w:r>
      <w:r>
        <w:t>м</w:t>
      </w:r>
      <w:r>
        <w:t>марной дозой 62 - 81 сГр за 16,9 - 23,5 лет указывают, что эти показатели не превышают таковые по другим регионам стр</w:t>
      </w:r>
      <w:r>
        <w:t>а</w:t>
      </w:r>
      <w:r>
        <w:t>н</w:t>
      </w:r>
      <w:r>
        <w:t>ы. По расчетным оценкам D</w:t>
      </w:r>
      <w:r>
        <w:rPr>
          <w:vertAlign w:val="subscript"/>
        </w:rPr>
        <w:t>эф</w:t>
      </w:r>
      <w:r>
        <w:t xml:space="preserve"> для профессиональных работников составляла 9,5 - 11,5 сГр. Заболеваемость с временной утратой трудоспособности (ВУТ) при неврологич</w:t>
      </w:r>
      <w:r>
        <w:t>е</w:t>
      </w:r>
      <w:r>
        <w:t>ских проявлениях остеохондроза не превышала таковую среди лиц ко</w:t>
      </w:r>
      <w:r>
        <w:t>н</w:t>
      </w:r>
      <w:r>
        <w:t>трольной группы других производ</w:t>
      </w:r>
      <w:r>
        <w:t>ств, не имеющих контактов с иониз</w:t>
      </w:r>
      <w:r>
        <w:t>и</w:t>
      </w:r>
      <w:r>
        <w:t>рующим излучением. Данные по персоналу атомных реакторов, облуча</w:t>
      </w:r>
      <w:r>
        <w:t>в</w:t>
      </w:r>
      <w:r>
        <w:t>шемуся в большой дозе (годовая доза составляла 100 сГр и более, 266 сГр за 5 лет; частота забол</w:t>
      </w:r>
      <w:r>
        <w:t>е</w:t>
      </w:r>
      <w:r>
        <w:t xml:space="preserve">ваемости хронической лучевой болезни 0,5 % в год), указывают </w:t>
      </w:r>
      <w:r>
        <w:t>на то, что после прекращения контакта с радиационным фактором пок</w:t>
      </w:r>
      <w:r>
        <w:t>а</w:t>
      </w:r>
      <w:r>
        <w:t>затели морфологического состава периферической крови восст</w:t>
      </w:r>
      <w:r>
        <w:t>а</w:t>
      </w:r>
      <w:r>
        <w:t>навливались до исходного уровня в т</w:t>
      </w:r>
      <w:r>
        <w:t>е</w:t>
      </w:r>
      <w:r>
        <w:t>чение 5 - 10 лет.</w:t>
      </w:r>
    </w:p>
    <w:p w14:paraId="17E3AE04" w14:textId="77777777" w:rsidR="00000000" w:rsidRDefault="00FB13B6">
      <w:pPr>
        <w:pStyle w:val="Normal"/>
        <w:spacing w:before="0" w:after="0"/>
        <w:ind w:firstLine="709"/>
        <w:jc w:val="both"/>
      </w:pPr>
      <w:r>
        <w:t>Анализируя данные, приведенные выше, можно предложить следующие д</w:t>
      </w:r>
      <w:r>
        <w:t>о</w:t>
      </w:r>
      <w:r>
        <w:t>зовые крите</w:t>
      </w:r>
      <w:r>
        <w:t>рии для ранжирования состояния организма по гематологическим, иммунологич</w:t>
      </w:r>
      <w:r>
        <w:t>е</w:t>
      </w:r>
      <w:r>
        <w:t>ским и биохимическим показателям. Уровень воздейс</w:t>
      </w:r>
      <w:r>
        <w:t>т</w:t>
      </w:r>
      <w:r>
        <w:t>вия с эффективной дозой, равной 2 - 8 сГр, характеризуется изменениями, не указывающими на нарушение здоровья. Можно считать, что вк</w:t>
      </w:r>
      <w:r>
        <w:t>лад радиационного фактора в рост общесоматических заболеваний в да</w:t>
      </w:r>
      <w:r>
        <w:t>н</w:t>
      </w:r>
      <w:r>
        <w:t>ном диапазоне дозы практически не значим. Уровень воздействия с эффективной дозой, равной 8 - 30 сГр, характеризуется изменениями показателей перечисленных систем, к</w:t>
      </w:r>
      <w:r>
        <w:t>о</w:t>
      </w:r>
      <w:r>
        <w:t>торые значимо отличаютс</w:t>
      </w:r>
      <w:r>
        <w:t>я от контроля или от исходных значений, выявляются общепр</w:t>
      </w:r>
      <w:r>
        <w:t>и</w:t>
      </w:r>
      <w:r>
        <w:t>нятыми лабораторными методами исследования, но л</w:t>
      </w:r>
      <w:r>
        <w:t>е</w:t>
      </w:r>
      <w:r>
        <w:t>жат в пределах физиологической нормы. В этих условиях воздействия акти</w:t>
      </w:r>
      <w:r>
        <w:t>в</w:t>
      </w:r>
      <w:r>
        <w:t xml:space="preserve">но работают компенсаторные механизмы. При этом имеют место скрытые нарушения, </w:t>
      </w:r>
      <w:r>
        <w:t>выявляемые, в частности, при помощи функци</w:t>
      </w:r>
      <w:r>
        <w:t>о</w:t>
      </w:r>
      <w:r>
        <w:t>нальных и экстремальных нагрузок. Такой сдвиг может быть неблагоприятным. Таким образом, эффективная доза, равная 8 сГр, является пороговой, начиная с кот</w:t>
      </w:r>
      <w:r>
        <w:t>о</w:t>
      </w:r>
      <w:r>
        <w:t>рой могут иметь место случаи, указывающие на нарушение здо</w:t>
      </w:r>
      <w:r>
        <w:t>ровья. При дополнительном возде</w:t>
      </w:r>
      <w:r>
        <w:t>й</w:t>
      </w:r>
      <w:r>
        <w:t>ствии других неблагоприятных факторов существует вероятность роста общесоматич</w:t>
      </w:r>
      <w:r>
        <w:t>е</w:t>
      </w:r>
      <w:r>
        <w:t>ских заболеваний. Радиационный фактор выступает лишь как одно из условий этого ро</w:t>
      </w:r>
      <w:r>
        <w:lastRenderedPageBreak/>
        <w:t>с</w:t>
      </w:r>
      <w:r>
        <w:t>та. Уровень воздействия с эффективной дозой, равной 30 - 60 сГр</w:t>
      </w:r>
      <w:r>
        <w:t>, характеризуется изм</w:t>
      </w:r>
      <w:r>
        <w:t>е</w:t>
      </w:r>
      <w:r>
        <w:t>нениями в кров</w:t>
      </w:r>
      <w:r>
        <w:t>е</w:t>
      </w:r>
      <w:r>
        <w:t>творной, иммунной и нейроэндокринной системах, которые достоверно (р &lt; &lt; 0,05) отличаются от контроля, более стойко сохраняются и (или) выходят за пределы физиологических колебаний. Перечисленные признаки характ</w:t>
      </w:r>
      <w:r>
        <w:t>е</w:t>
      </w:r>
      <w:r>
        <w:t xml:space="preserve">ризуют </w:t>
      </w:r>
      <w:r>
        <w:t>этот уровень как перенапряжение механизмов адаптации или недо</w:t>
      </w:r>
      <w:r>
        <w:t>с</w:t>
      </w:r>
      <w:r>
        <w:t>таточность адаптации. Такой результат воздействия является по общепринятому мнению неприемлемым. Таким образом, эффе</w:t>
      </w:r>
      <w:r>
        <w:t>к</w:t>
      </w:r>
      <w:r>
        <w:t>тивная доза, равная 30 сГр, является пороговой, начиная с которой радиационны</w:t>
      </w:r>
      <w:r>
        <w:t>й фактор выступает как причина развития и роста общесом</w:t>
      </w:r>
      <w:r>
        <w:t>а</w:t>
      </w:r>
      <w:r>
        <w:t>тических заболеваний.</w:t>
      </w:r>
    </w:p>
    <w:p w14:paraId="14977E70" w14:textId="77777777" w:rsidR="00000000" w:rsidRDefault="00FB13B6">
      <w:pPr>
        <w:pStyle w:val="Normal"/>
        <w:spacing w:before="0" w:after="0"/>
        <w:ind w:firstLine="709"/>
        <w:jc w:val="both"/>
      </w:pPr>
      <w:r>
        <w:t>Особый интерес представляет вопрос о длительной потере трудоспособности в р</w:t>
      </w:r>
      <w:r>
        <w:t>е</w:t>
      </w:r>
      <w:r>
        <w:t>зультате общесоматических заболеваний при радиационном воздействии на человека. На основе предложенных</w:t>
      </w:r>
      <w:r>
        <w:t xml:space="preserve"> данных можно сделать следующий вывод. Предположим, что дл</w:t>
      </w:r>
      <w:r>
        <w:t>и</w:t>
      </w:r>
      <w:r>
        <w:t>тельная потеря трудоспособности может н</w:t>
      </w:r>
      <w:r>
        <w:t>а</w:t>
      </w:r>
      <w:r>
        <w:t>ступить только при возникновении устойчивой совокупности ряда симптомов - синдрома. Из приведенных данных следует, что такая с</w:t>
      </w:r>
      <w:r>
        <w:t>и</w:t>
      </w:r>
      <w:r>
        <w:t>туация может возникнуть при эф</w:t>
      </w:r>
      <w:r>
        <w:t>фективной дозе, превышающей 30 сГр. Отсюда следует, что при облучении (однократно и кратковременно) практически здорового трудоспосо</w:t>
      </w:r>
      <w:r>
        <w:t>б</w:t>
      </w:r>
      <w:r>
        <w:t>ного человека ионизирующим излучением в дозе менее 30 сГр опасность длительной п</w:t>
      </w:r>
      <w:r>
        <w:t>о</w:t>
      </w:r>
      <w:r>
        <w:t>тери трудоспособности отсутствует. При хро</w:t>
      </w:r>
      <w:r>
        <w:t>нич</w:t>
      </w:r>
      <w:r>
        <w:t>е</w:t>
      </w:r>
      <w:r>
        <w:t>ском воздействии в течение года такой вывод справедлив для дозы менее 1 Гр.</w:t>
      </w:r>
    </w:p>
    <w:p w14:paraId="12DA3DE5" w14:textId="77777777" w:rsidR="00000000" w:rsidRDefault="00FB13B6">
      <w:pPr>
        <w:pStyle w:val="Normal"/>
        <w:spacing w:before="0" w:after="0"/>
        <w:ind w:firstLine="709"/>
        <w:jc w:val="center"/>
        <w:rPr>
          <w:b/>
          <w:sz w:val="32"/>
        </w:rPr>
      </w:pPr>
      <w:r>
        <w:rPr>
          <w:b/>
          <w:sz w:val="32"/>
        </w:rPr>
        <w:t>Воздействие различных видов излучения малых мощн</w:t>
      </w:r>
      <w:r>
        <w:rPr>
          <w:b/>
          <w:sz w:val="32"/>
        </w:rPr>
        <w:t>о</w:t>
      </w:r>
      <w:r>
        <w:rPr>
          <w:b/>
          <w:sz w:val="32"/>
        </w:rPr>
        <w:t>стей на человека</w:t>
      </w:r>
    </w:p>
    <w:p w14:paraId="59853E4D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Радиация, электромагнитные поля СВЧ и КВЧ диапазонов, ультразвук и э</w:t>
      </w:r>
      <w:r>
        <w:rPr>
          <w:color w:val="000000"/>
        </w:rPr>
        <w:t>к</w:t>
      </w:r>
      <w:r>
        <w:rPr>
          <w:color w:val="000000"/>
        </w:rPr>
        <w:t>раны дисплеев, имеющие широкий спектр изл</w:t>
      </w:r>
      <w:r>
        <w:rPr>
          <w:color w:val="000000"/>
        </w:rPr>
        <w:t>учений – все эти факторы ш</w:t>
      </w:r>
      <w:r>
        <w:rPr>
          <w:color w:val="000000"/>
        </w:rPr>
        <w:t>и</w:t>
      </w:r>
      <w:r>
        <w:rPr>
          <w:color w:val="000000"/>
        </w:rPr>
        <w:t>роко представлены в нашей повседневной жизни. Это телевизоры, компь</w:t>
      </w:r>
      <w:r>
        <w:rPr>
          <w:color w:val="000000"/>
        </w:rPr>
        <w:t>ю</w:t>
      </w:r>
      <w:r>
        <w:rPr>
          <w:color w:val="000000"/>
        </w:rPr>
        <w:t>теры, печи СВЧ, сотовые телефоны, различные ультразвуковые устройства и т.д., а также проживание вблизи линий высок</w:t>
      </w:r>
      <w:r>
        <w:rPr>
          <w:color w:val="000000"/>
        </w:rPr>
        <w:t>о</w:t>
      </w:r>
      <w:r>
        <w:rPr>
          <w:color w:val="000000"/>
        </w:rPr>
        <w:t xml:space="preserve">вольтной передачи, теле - и ретрансляционных </w:t>
      </w:r>
      <w:r>
        <w:rPr>
          <w:color w:val="000000"/>
        </w:rPr>
        <w:t>башен, объектов использующих радиац</w:t>
      </w:r>
      <w:r>
        <w:rPr>
          <w:color w:val="000000"/>
        </w:rPr>
        <w:t>и</w:t>
      </w:r>
      <w:r>
        <w:rPr>
          <w:color w:val="000000"/>
        </w:rPr>
        <w:t>онные матери</w:t>
      </w:r>
      <w:r>
        <w:rPr>
          <w:color w:val="000000"/>
        </w:rPr>
        <w:t>а</w:t>
      </w:r>
      <w:r>
        <w:rPr>
          <w:color w:val="000000"/>
        </w:rPr>
        <w:t xml:space="preserve">лы. </w:t>
      </w:r>
    </w:p>
    <w:p w14:paraId="67B3EE15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На протяжении последних почти двадцати лет небольшая группа сотрудников И</w:t>
      </w:r>
      <w:r>
        <w:rPr>
          <w:color w:val="000000"/>
        </w:rPr>
        <w:t>н</w:t>
      </w:r>
      <w:r>
        <w:rPr>
          <w:color w:val="000000"/>
        </w:rPr>
        <w:t>ститута проблем управления РАН занимается созданием методов о</w:t>
      </w:r>
      <w:r>
        <w:rPr>
          <w:color w:val="000000"/>
        </w:rPr>
        <w:t>б</w:t>
      </w:r>
      <w:r>
        <w:rPr>
          <w:color w:val="000000"/>
        </w:rPr>
        <w:t xml:space="preserve">работки медицинской информации. В частности созданием объективных </w:t>
      </w:r>
      <w:r>
        <w:rPr>
          <w:color w:val="000000"/>
        </w:rPr>
        <w:t>методов диагностики и управления л</w:t>
      </w:r>
      <w:r>
        <w:rPr>
          <w:color w:val="000000"/>
        </w:rPr>
        <w:t>е</w:t>
      </w:r>
      <w:r>
        <w:rPr>
          <w:color w:val="000000"/>
        </w:rPr>
        <w:t>чением ряда неврологических заболеваний. Разрабатываемые методы базируются на о</w:t>
      </w:r>
      <w:r>
        <w:rPr>
          <w:color w:val="000000"/>
        </w:rPr>
        <w:t>б</w:t>
      </w:r>
      <w:r>
        <w:rPr>
          <w:color w:val="000000"/>
        </w:rPr>
        <w:t>работке электрических п</w:t>
      </w:r>
      <w:r>
        <w:rPr>
          <w:color w:val="000000"/>
        </w:rPr>
        <w:t>о</w:t>
      </w:r>
      <w:r>
        <w:rPr>
          <w:color w:val="000000"/>
        </w:rPr>
        <w:t xml:space="preserve">тенциалов мышц человека. Запись электрических потенциалов называется </w:t>
      </w:r>
      <w:hyperlink r:id="rId7" w:history="1">
        <w:r>
          <w:rPr>
            <w:rStyle w:val="a9"/>
            <w:color w:val="000000"/>
          </w:rPr>
          <w:t>электромиограммой (ЭМГ).</w:t>
        </w:r>
      </w:hyperlink>
    </w:p>
    <w:p w14:paraId="7CC17ADC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Исследование физиологического и патологического тремора человека позв</w:t>
      </w:r>
      <w:r>
        <w:rPr>
          <w:color w:val="000000"/>
        </w:rPr>
        <w:t>о</w:t>
      </w:r>
      <w:r>
        <w:rPr>
          <w:color w:val="000000"/>
        </w:rPr>
        <w:t xml:space="preserve">лили разработать новый метод компьютерной обработки ЭМГ. </w:t>
      </w:r>
      <w:hyperlink r:id="rId8" w:history="1">
        <w:r>
          <w:rPr>
            <w:rStyle w:val="a9"/>
            <w:color w:val="000000"/>
          </w:rPr>
          <w:t>Метод осн</w:t>
        </w:r>
        <w:r>
          <w:rPr>
            <w:rStyle w:val="a9"/>
            <w:color w:val="000000"/>
          </w:rPr>
          <w:t>о</w:t>
        </w:r>
        <w:r>
          <w:rPr>
            <w:rStyle w:val="a9"/>
            <w:color w:val="000000"/>
          </w:rPr>
          <w:t>ван на спектрально-статистическом</w:t>
        </w:r>
        <w:r>
          <w:rPr>
            <w:rStyle w:val="a9"/>
            <w:color w:val="000000"/>
          </w:rPr>
          <w:t xml:space="preserve"> </w:t>
        </w:r>
      </w:hyperlink>
      <w:r>
        <w:rPr>
          <w:color w:val="000000"/>
        </w:rPr>
        <w:t>анализе кривых электрической активн</w:t>
      </w:r>
      <w:r>
        <w:rPr>
          <w:color w:val="000000"/>
        </w:rPr>
        <w:t>о</w:t>
      </w:r>
      <w:r>
        <w:rPr>
          <w:color w:val="000000"/>
        </w:rPr>
        <w:t xml:space="preserve">сти мышц. </w:t>
      </w:r>
    </w:p>
    <w:p w14:paraId="259344F5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При проведение различных экспериментальных исследований параллельно с по</w:t>
      </w:r>
      <w:r>
        <w:rPr>
          <w:color w:val="000000"/>
        </w:rPr>
        <w:t>д</w:t>
      </w:r>
      <w:r>
        <w:rPr>
          <w:color w:val="000000"/>
        </w:rPr>
        <w:t>опытной группой экспериментатор всегда использует контрольную гру</w:t>
      </w:r>
      <w:r>
        <w:rPr>
          <w:color w:val="000000"/>
        </w:rPr>
        <w:t>п</w:t>
      </w:r>
      <w:r>
        <w:rPr>
          <w:color w:val="000000"/>
        </w:rPr>
        <w:t>пу. Обычно это субъекты, которые не несут в себе те или иные заболев</w:t>
      </w:r>
      <w:r>
        <w:rPr>
          <w:color w:val="000000"/>
        </w:rPr>
        <w:t>ания (если речь идет об исследов</w:t>
      </w:r>
      <w:r>
        <w:rPr>
          <w:color w:val="000000"/>
        </w:rPr>
        <w:t>а</w:t>
      </w:r>
      <w:r>
        <w:rPr>
          <w:color w:val="000000"/>
        </w:rPr>
        <w:t>ниях различных заболеваний) или не подверг</w:t>
      </w:r>
      <w:r>
        <w:rPr>
          <w:color w:val="000000"/>
        </w:rPr>
        <w:t>а</w:t>
      </w:r>
      <w:r>
        <w:rPr>
          <w:color w:val="000000"/>
        </w:rPr>
        <w:t>ются тем или иным воздействиям в отличие от подопытной группы. В качестве контрольной группы часто выступали сотрудники И</w:t>
      </w:r>
      <w:r>
        <w:rPr>
          <w:color w:val="000000"/>
        </w:rPr>
        <w:t>н</w:t>
      </w:r>
      <w:r>
        <w:rPr>
          <w:color w:val="000000"/>
        </w:rPr>
        <w:t>ститута проблем управления РАН. Для многих из них накаплив</w:t>
      </w:r>
      <w:r>
        <w:rPr>
          <w:color w:val="000000"/>
        </w:rPr>
        <w:t>ались данные на протяж</w:t>
      </w:r>
      <w:r>
        <w:rPr>
          <w:color w:val="000000"/>
        </w:rPr>
        <w:t>е</w:t>
      </w:r>
      <w:r>
        <w:rPr>
          <w:color w:val="000000"/>
        </w:rPr>
        <w:t>нии более десятка лет. Эти исследования показали, что усредненные спектры человека с</w:t>
      </w:r>
      <w:r>
        <w:rPr>
          <w:color w:val="000000"/>
        </w:rPr>
        <w:t>о</w:t>
      </w:r>
      <w:r>
        <w:rPr>
          <w:color w:val="000000"/>
        </w:rPr>
        <w:t>храняются неизменными на протяжении этого времени.</w:t>
      </w:r>
    </w:p>
    <w:p w14:paraId="1DC9285F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Эти спектры отражают физиологический тремор человека в норме. Усре</w:t>
      </w:r>
      <w:r>
        <w:rPr>
          <w:color w:val="000000"/>
        </w:rPr>
        <w:t>д</w:t>
      </w:r>
      <w:r>
        <w:rPr>
          <w:color w:val="000000"/>
        </w:rPr>
        <w:t>ненный спектр одного из испыту</w:t>
      </w:r>
      <w:r>
        <w:rPr>
          <w:color w:val="000000"/>
        </w:rPr>
        <w:t>емых показан на рис.1. Предварительный анализ результатов о</w:t>
      </w:r>
      <w:r>
        <w:rPr>
          <w:color w:val="000000"/>
        </w:rPr>
        <w:t>б</w:t>
      </w:r>
      <w:r>
        <w:rPr>
          <w:color w:val="000000"/>
        </w:rPr>
        <w:t>следования группы здоровых испытуемых (около 100 человек) позволил определить сре</w:t>
      </w:r>
      <w:r>
        <w:rPr>
          <w:color w:val="000000"/>
        </w:rPr>
        <w:t>д</w:t>
      </w:r>
      <w:r>
        <w:rPr>
          <w:color w:val="000000"/>
        </w:rPr>
        <w:t>нестатистические значения спектральных параметров нормы.</w:t>
      </w:r>
    </w:p>
    <w:p w14:paraId="491E9549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Проводя очередные экспериментальные исследования в сентяб</w:t>
      </w:r>
      <w:r>
        <w:rPr>
          <w:color w:val="000000"/>
        </w:rPr>
        <w:t>ре 1986 с уч</w:t>
      </w:r>
      <w:r>
        <w:rPr>
          <w:color w:val="000000"/>
        </w:rPr>
        <w:t>а</w:t>
      </w:r>
      <w:r>
        <w:rPr>
          <w:color w:val="000000"/>
        </w:rPr>
        <w:t>стием контрольной группы, состоящей из наших сотрудников, мы столкнулись с резким измен</w:t>
      </w:r>
      <w:r>
        <w:rPr>
          <w:color w:val="000000"/>
        </w:rPr>
        <w:t>е</w:t>
      </w:r>
      <w:r>
        <w:rPr>
          <w:color w:val="000000"/>
        </w:rPr>
        <w:t>нием их спектральных характеристик. Все, ранее ст</w:t>
      </w:r>
      <w:r>
        <w:rPr>
          <w:color w:val="000000"/>
        </w:rPr>
        <w:t>а</w:t>
      </w:r>
      <w:r>
        <w:rPr>
          <w:color w:val="000000"/>
        </w:rPr>
        <w:t>бильные на протяжении нескольких лет, показатели контрольной группы изменились. На рис.2 показано как изм</w:t>
      </w:r>
      <w:r>
        <w:rPr>
          <w:color w:val="000000"/>
        </w:rPr>
        <w:t>енился усре</w:t>
      </w:r>
      <w:r>
        <w:rPr>
          <w:color w:val="000000"/>
        </w:rPr>
        <w:t>д</w:t>
      </w:r>
      <w:r>
        <w:rPr>
          <w:color w:val="000000"/>
        </w:rPr>
        <w:t>ненный спектр одного из участников контрольной группы.</w:t>
      </w:r>
    </w:p>
    <w:p w14:paraId="3551E404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Поиски причин изменения ранее стабильных характеристик нормы привели к мы</w:t>
      </w:r>
      <w:r>
        <w:rPr>
          <w:color w:val="000000"/>
        </w:rPr>
        <w:t>с</w:t>
      </w:r>
      <w:r>
        <w:rPr>
          <w:color w:val="000000"/>
        </w:rPr>
        <w:t>ли о влиянии Чернобыльской катастрофы на жителей Москвы. Было решено провести и</w:t>
      </w:r>
      <w:r>
        <w:rPr>
          <w:color w:val="000000"/>
        </w:rPr>
        <w:t>с</w:t>
      </w:r>
      <w:r>
        <w:rPr>
          <w:color w:val="000000"/>
        </w:rPr>
        <w:t>следования людей, непосредственно п</w:t>
      </w:r>
      <w:r>
        <w:rPr>
          <w:color w:val="000000"/>
        </w:rPr>
        <w:t>опавших в зону Че</w:t>
      </w:r>
      <w:r>
        <w:rPr>
          <w:color w:val="000000"/>
        </w:rPr>
        <w:t>р</w:t>
      </w:r>
      <w:r>
        <w:rPr>
          <w:color w:val="000000"/>
        </w:rPr>
        <w:t>нобыльской аварии. Просмотр характеристик этой группы, позволил бы определить, реагирует ли ЦНС человека на р</w:t>
      </w:r>
      <w:r>
        <w:rPr>
          <w:color w:val="000000"/>
        </w:rPr>
        <w:t>а</w:t>
      </w:r>
      <w:r>
        <w:rPr>
          <w:color w:val="000000"/>
        </w:rPr>
        <w:t xml:space="preserve">диационные воздействия малых доз. </w:t>
      </w:r>
    </w:p>
    <w:p w14:paraId="21A546C5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В декабре 1986- январе 1987 года проведено обследование группы людей (34 чел</w:t>
      </w:r>
      <w:r>
        <w:rPr>
          <w:color w:val="000000"/>
        </w:rPr>
        <w:t>о</w:t>
      </w:r>
      <w:r>
        <w:rPr>
          <w:color w:val="000000"/>
        </w:rPr>
        <w:t xml:space="preserve">века), попавших </w:t>
      </w:r>
      <w:r>
        <w:rPr>
          <w:color w:val="000000"/>
        </w:rPr>
        <w:t>в аварию на Чернобыльской АЭС и участвовавших в ее ликвидации в п</w:t>
      </w:r>
      <w:r>
        <w:rPr>
          <w:color w:val="000000"/>
        </w:rPr>
        <w:t>е</w:t>
      </w:r>
      <w:r>
        <w:rPr>
          <w:color w:val="000000"/>
        </w:rPr>
        <w:t>риод апрель - август 1986 года. Исследования проводились на базе отделения радиацио</w:t>
      </w:r>
      <w:r>
        <w:rPr>
          <w:color w:val="000000"/>
        </w:rPr>
        <w:t>н</w:t>
      </w:r>
      <w:r>
        <w:rPr>
          <w:color w:val="000000"/>
        </w:rPr>
        <w:t>ной неврологии Института биофизики МЗ СССР. Больные находились на лечении в кл</w:t>
      </w:r>
      <w:r>
        <w:rPr>
          <w:color w:val="000000"/>
        </w:rPr>
        <w:t>и</w:t>
      </w:r>
      <w:r>
        <w:rPr>
          <w:color w:val="000000"/>
        </w:rPr>
        <w:t xml:space="preserve">нике. Среди них 21 человек </w:t>
      </w:r>
      <w:r>
        <w:rPr>
          <w:color w:val="000000"/>
        </w:rPr>
        <w:t>с диагнозом острая лучевая болезнь (ОЛБ) различной степени тяжести. Остальные 13 человек подверглись облучению в дозах, не приведших к возни</w:t>
      </w:r>
      <w:r>
        <w:rPr>
          <w:color w:val="000000"/>
        </w:rPr>
        <w:t>к</w:t>
      </w:r>
      <w:r>
        <w:rPr>
          <w:color w:val="000000"/>
        </w:rPr>
        <w:t>новению ОЛБ. Дозы, полученные этими людьми, варьировались от 15 до 800 рентген. Возраст обследованных от 17 до 55 л</w:t>
      </w:r>
      <w:r>
        <w:rPr>
          <w:color w:val="000000"/>
        </w:rPr>
        <w:t xml:space="preserve">ет. </w:t>
      </w:r>
    </w:p>
    <w:p w14:paraId="5C98BAD2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Обследование и анализ результатов позволили получить признак реакции ЦНС ч</w:t>
      </w:r>
      <w:r>
        <w:rPr>
          <w:color w:val="000000"/>
        </w:rPr>
        <w:t>е</w:t>
      </w:r>
      <w:r>
        <w:rPr>
          <w:color w:val="000000"/>
        </w:rPr>
        <w:t>ловека на радиационное облучение. Выявленный признак не коррелировал со стадией з</w:t>
      </w:r>
      <w:r>
        <w:rPr>
          <w:color w:val="000000"/>
        </w:rPr>
        <w:t>а</w:t>
      </w:r>
      <w:r>
        <w:rPr>
          <w:color w:val="000000"/>
        </w:rPr>
        <w:t>болевания или полученной дозой. Напротив, чаще он был выявлен у лиц, не имеющих д</w:t>
      </w:r>
      <w:r>
        <w:rPr>
          <w:color w:val="000000"/>
        </w:rPr>
        <w:t>и</w:t>
      </w:r>
      <w:r>
        <w:rPr>
          <w:color w:val="000000"/>
        </w:rPr>
        <w:t>агноз лучева</w:t>
      </w:r>
      <w:r>
        <w:rPr>
          <w:color w:val="000000"/>
        </w:rPr>
        <w:t>я болезнь. Это можно объяснить, по сей видимости, тем, что люди, заболе</w:t>
      </w:r>
      <w:r>
        <w:rPr>
          <w:color w:val="000000"/>
        </w:rPr>
        <w:t>в</w:t>
      </w:r>
      <w:r>
        <w:rPr>
          <w:color w:val="000000"/>
        </w:rPr>
        <w:t>шие лучевой болезнью, пол</w:t>
      </w:r>
      <w:r>
        <w:rPr>
          <w:color w:val="000000"/>
        </w:rPr>
        <w:t>у</w:t>
      </w:r>
      <w:r>
        <w:rPr>
          <w:color w:val="000000"/>
        </w:rPr>
        <w:t>чили дозы, вызвавшие "глобальные изменения" в организме. Эти больные получали интенсивную терапию, перенесли несколько процедур перелив</w:t>
      </w:r>
      <w:r>
        <w:rPr>
          <w:color w:val="000000"/>
        </w:rPr>
        <w:t>а</w:t>
      </w:r>
      <w:r>
        <w:rPr>
          <w:color w:val="000000"/>
        </w:rPr>
        <w:t>ния крови, все это мог</w:t>
      </w:r>
      <w:r>
        <w:rPr>
          <w:color w:val="000000"/>
        </w:rPr>
        <w:t>ло "замазать" картину. Выявление же признака у людей, которые находились на профилактическом осмотре, т.к. не получили пов</w:t>
      </w:r>
      <w:r>
        <w:rPr>
          <w:color w:val="000000"/>
        </w:rPr>
        <w:t>ы</w:t>
      </w:r>
      <w:r>
        <w:rPr>
          <w:color w:val="000000"/>
        </w:rPr>
        <w:t>шенных доз радиации, и по клинике не считались пораженными, заставил обратить внимание на людей, профе</w:t>
      </w:r>
      <w:r>
        <w:rPr>
          <w:color w:val="000000"/>
        </w:rPr>
        <w:t>с</w:t>
      </w:r>
      <w:r>
        <w:rPr>
          <w:color w:val="000000"/>
        </w:rPr>
        <w:t>сионально связанных с радиацио</w:t>
      </w:r>
      <w:r>
        <w:rPr>
          <w:color w:val="000000"/>
        </w:rPr>
        <w:t>нными воздействиями и получивших нормативные для этой отрасли дозы. В 1988- 1990 годах для исследования влияния длительного воздейс</w:t>
      </w:r>
      <w:r>
        <w:rPr>
          <w:color w:val="000000"/>
        </w:rPr>
        <w:t>т</w:t>
      </w:r>
      <w:r>
        <w:rPr>
          <w:color w:val="000000"/>
        </w:rPr>
        <w:t>вия малых мощностей облучения было проведено обследования персонала Калини</w:t>
      </w:r>
      <w:r>
        <w:rPr>
          <w:color w:val="000000"/>
        </w:rPr>
        <w:t>н</w:t>
      </w:r>
      <w:r>
        <w:rPr>
          <w:color w:val="000000"/>
        </w:rPr>
        <w:t>ской АЭС (84 человека) и Ленинградской АЭС (47 че</w:t>
      </w:r>
      <w:r>
        <w:rPr>
          <w:color w:val="000000"/>
        </w:rPr>
        <w:t xml:space="preserve">л.). </w:t>
      </w:r>
    </w:p>
    <w:p w14:paraId="6A440086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В эти группы входили работники различных цехов (реакторного, турбинного, эле</w:t>
      </w:r>
      <w:r>
        <w:rPr>
          <w:color w:val="000000"/>
        </w:rPr>
        <w:t>к</w:t>
      </w:r>
      <w:r>
        <w:rPr>
          <w:color w:val="000000"/>
        </w:rPr>
        <w:t>тро-, химического и ремонтного, а также отдел охраны труда и радиационной безопасн</w:t>
      </w:r>
      <w:r>
        <w:rPr>
          <w:color w:val="000000"/>
        </w:rPr>
        <w:t>о</w:t>
      </w:r>
      <w:r>
        <w:rPr>
          <w:color w:val="000000"/>
        </w:rPr>
        <w:t>сти) в возрасте от 22 до 55 лет и стажем работы на АЭС от 2 до 30 лет. Для определения дли</w:t>
      </w:r>
      <w:r>
        <w:rPr>
          <w:color w:val="000000"/>
        </w:rPr>
        <w:t>тельности периода сохранения признаков реакции на радиационное воздействие у л</w:t>
      </w:r>
      <w:r>
        <w:rPr>
          <w:color w:val="000000"/>
        </w:rPr>
        <w:t>ю</w:t>
      </w:r>
      <w:r>
        <w:rPr>
          <w:color w:val="000000"/>
        </w:rPr>
        <w:t>дей, получивших малые и средние дозы облучения, в 1990г. проводилось обследование участников ликвидации аварии на ЧАЭС. Обследовано 24 мужчин в возрасте от 33 до 56 лет, получив</w:t>
      </w:r>
      <w:r>
        <w:rPr>
          <w:color w:val="000000"/>
        </w:rPr>
        <w:t>ших в период 1986 -1988 гг. дозы, не превышающие 30 рентген. Обследов</w:t>
      </w:r>
      <w:r>
        <w:rPr>
          <w:color w:val="000000"/>
        </w:rPr>
        <w:t>а</w:t>
      </w:r>
      <w:r>
        <w:rPr>
          <w:color w:val="000000"/>
        </w:rPr>
        <w:t>ние проводилось в клинике кафедры военно-полевой терапии Военно-медицинской ак</w:t>
      </w:r>
      <w:r>
        <w:rPr>
          <w:color w:val="000000"/>
        </w:rPr>
        <w:t>а</w:t>
      </w:r>
      <w:r>
        <w:rPr>
          <w:color w:val="000000"/>
        </w:rPr>
        <w:t>демии им. С.М.Кирова (г.Санкт-Петербург). В контрольную группу людей, професси</w:t>
      </w:r>
      <w:r>
        <w:rPr>
          <w:color w:val="000000"/>
        </w:rPr>
        <w:t>о</w:t>
      </w:r>
      <w:r>
        <w:rPr>
          <w:color w:val="000000"/>
        </w:rPr>
        <w:t>нально не связанных с радиац</w:t>
      </w:r>
      <w:r>
        <w:rPr>
          <w:color w:val="000000"/>
        </w:rPr>
        <w:t xml:space="preserve">ионным фактором, вошли: </w:t>
      </w:r>
    </w:p>
    <w:p w14:paraId="4DD506A5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 xml:space="preserve">1.Курсанты Военно-медицинской академии им.С.М.Кирова -20 чел.; </w:t>
      </w:r>
    </w:p>
    <w:p w14:paraId="006CCC59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2.Студенты и преподаватели Санкт-Петербургского технического универс</w:t>
      </w:r>
      <w:r>
        <w:rPr>
          <w:color w:val="000000"/>
        </w:rPr>
        <w:t>и</w:t>
      </w:r>
      <w:r>
        <w:rPr>
          <w:color w:val="000000"/>
        </w:rPr>
        <w:t xml:space="preserve">тета- 24чел.; </w:t>
      </w:r>
    </w:p>
    <w:p w14:paraId="68E83517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 xml:space="preserve">3.Сотрудники Института проблем управления РАН г.Москва -20 чел </w:t>
      </w:r>
    </w:p>
    <w:p w14:paraId="2F49AD7E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4.Рабочие завода по</w:t>
      </w:r>
      <w:r>
        <w:rPr>
          <w:color w:val="000000"/>
        </w:rPr>
        <w:t xml:space="preserve"> обработке цветных металлов г.Москва - 44 чел. </w:t>
      </w:r>
    </w:p>
    <w:p w14:paraId="38917C90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Для всех исследуемых групп людей, получивших различные дозы радиац</w:t>
      </w:r>
      <w:r>
        <w:rPr>
          <w:color w:val="000000"/>
        </w:rPr>
        <w:t>и</w:t>
      </w:r>
      <w:r>
        <w:rPr>
          <w:color w:val="000000"/>
        </w:rPr>
        <w:t>онного облучения непосредственно после облучения или через несколько лет после него, а также находящихся в зоне длительного влияния малых мощ</w:t>
      </w:r>
      <w:r>
        <w:rPr>
          <w:color w:val="000000"/>
        </w:rPr>
        <w:t>н</w:t>
      </w:r>
      <w:r>
        <w:rPr>
          <w:color w:val="000000"/>
        </w:rPr>
        <w:t>о</w:t>
      </w:r>
      <w:r>
        <w:rPr>
          <w:color w:val="000000"/>
        </w:rPr>
        <w:t>стей радиации, было получено статистически достоверное различие значения параметра, определяющего реакцию чел</w:t>
      </w:r>
      <w:r>
        <w:rPr>
          <w:color w:val="000000"/>
        </w:rPr>
        <w:t>о</w:t>
      </w:r>
      <w:r>
        <w:rPr>
          <w:color w:val="000000"/>
        </w:rPr>
        <w:t>века на радиационное воздействие, от значений этого параметра для групп людей профе</w:t>
      </w:r>
      <w:r>
        <w:rPr>
          <w:color w:val="000000"/>
        </w:rPr>
        <w:t>с</w:t>
      </w:r>
      <w:r>
        <w:rPr>
          <w:color w:val="000000"/>
        </w:rPr>
        <w:t xml:space="preserve">сионально не связанных с этим фактором. </w:t>
      </w:r>
    </w:p>
    <w:p w14:paraId="40646639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На диаграмме ( рис.</w:t>
      </w:r>
      <w:r>
        <w:rPr>
          <w:color w:val="000000"/>
        </w:rPr>
        <w:t>3) показано в % число людей, имеющих признак реакции ЦНС на радиационное воздействие во всех исследуемых группах. Все ко</w:t>
      </w:r>
      <w:r>
        <w:rPr>
          <w:color w:val="000000"/>
        </w:rPr>
        <w:t>н</w:t>
      </w:r>
      <w:r>
        <w:rPr>
          <w:color w:val="000000"/>
        </w:rPr>
        <w:t xml:space="preserve">трольные группы слиты в одну группу "норма". </w:t>
      </w:r>
    </w:p>
    <w:p w14:paraId="66B25E3D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Наблюдение за контрольной группой "норма ИПУ", изменивших свои характер</w:t>
      </w:r>
      <w:r>
        <w:rPr>
          <w:color w:val="000000"/>
        </w:rPr>
        <w:t>и</w:t>
      </w:r>
      <w:r>
        <w:rPr>
          <w:color w:val="000000"/>
        </w:rPr>
        <w:t>стики в 1986 году</w:t>
      </w:r>
      <w:r>
        <w:rPr>
          <w:color w:val="000000"/>
        </w:rPr>
        <w:t>, на протяжении 1987-1993 годов показало, что уже в 1987 году характ</w:t>
      </w:r>
      <w:r>
        <w:rPr>
          <w:color w:val="000000"/>
        </w:rPr>
        <w:t>е</w:t>
      </w:r>
      <w:r>
        <w:rPr>
          <w:color w:val="000000"/>
        </w:rPr>
        <w:lastRenderedPageBreak/>
        <w:t>ристики некоторых испытуемых стали смещаться в сторону нормализации. Отметим, что до 1986 года группа "норма" имела 4% людей с признаком, соответствующим реакции на воздействие.</w:t>
      </w:r>
    </w:p>
    <w:p w14:paraId="63D63994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На диагра</w:t>
      </w:r>
      <w:r>
        <w:rPr>
          <w:color w:val="000000"/>
        </w:rPr>
        <w:t xml:space="preserve">мме (рис.4) показано как менялся % людей в группе "норма", имеющих отклонения, по годам </w:t>
      </w:r>
    </w:p>
    <w:p w14:paraId="2C6BC06D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i/>
          <w:color w:val="000000"/>
        </w:rPr>
        <w:t>Таким образом, обследование ликвидаторов аварии на ЧАЭС через 3-4 года после облучения и наблюдение за "нормой" на протяжении 7 лет показало, что признак реакции челов</w:t>
      </w:r>
      <w:r>
        <w:rPr>
          <w:i/>
          <w:color w:val="000000"/>
        </w:rPr>
        <w:t>ека на воздействие малых доз радиации сохран</w:t>
      </w:r>
      <w:r>
        <w:rPr>
          <w:i/>
          <w:color w:val="000000"/>
        </w:rPr>
        <w:t>я</w:t>
      </w:r>
      <w:r>
        <w:rPr>
          <w:i/>
          <w:color w:val="000000"/>
        </w:rPr>
        <w:t>ется не менее года. Характеристики нормализуются в течение 2-4 лет п</w:t>
      </w:r>
      <w:r>
        <w:rPr>
          <w:i/>
          <w:color w:val="000000"/>
        </w:rPr>
        <w:t>о</w:t>
      </w:r>
      <w:r>
        <w:rPr>
          <w:i/>
          <w:color w:val="000000"/>
        </w:rPr>
        <w:t>сле воздействия. По всей видимости, возникновение реакции человека на во</w:t>
      </w:r>
      <w:r>
        <w:rPr>
          <w:i/>
          <w:color w:val="000000"/>
        </w:rPr>
        <w:t>з</w:t>
      </w:r>
      <w:r>
        <w:rPr>
          <w:i/>
          <w:color w:val="000000"/>
        </w:rPr>
        <w:t>действие, а также время сохранения признака реакции зависит от индиви</w:t>
      </w:r>
      <w:r>
        <w:rPr>
          <w:i/>
          <w:color w:val="000000"/>
        </w:rPr>
        <w:t>дуальных ос</w:t>
      </w:r>
      <w:r>
        <w:rPr>
          <w:i/>
          <w:color w:val="000000"/>
        </w:rPr>
        <w:t>о</w:t>
      </w:r>
      <w:r>
        <w:rPr>
          <w:i/>
          <w:color w:val="000000"/>
        </w:rPr>
        <w:t>бенностей организма человека.</w:t>
      </w:r>
      <w:r>
        <w:rPr>
          <w:color w:val="000000"/>
        </w:rPr>
        <w:t xml:space="preserve"> </w:t>
      </w:r>
    </w:p>
    <w:p w14:paraId="3CC1F163" w14:textId="77777777" w:rsidR="00000000" w:rsidRDefault="00FB13B6">
      <w:pPr>
        <w:pStyle w:val="a7"/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Дисплей</w:t>
      </w:r>
    </w:p>
    <w:p w14:paraId="775629FE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Люди, работающие на персональных компьютерах (ПК), часто жалуются на голо</w:t>
      </w:r>
      <w:r>
        <w:rPr>
          <w:color w:val="000000"/>
        </w:rPr>
        <w:t>в</w:t>
      </w:r>
      <w:r>
        <w:rPr>
          <w:color w:val="000000"/>
        </w:rPr>
        <w:t>ные боли, повышенную утомляемость и ухудшение зрения. Но влияние ПК характериз</w:t>
      </w:r>
      <w:r>
        <w:rPr>
          <w:color w:val="000000"/>
        </w:rPr>
        <w:t>у</w:t>
      </w:r>
      <w:r>
        <w:rPr>
          <w:color w:val="000000"/>
        </w:rPr>
        <w:t>ется не только этими симптомами. Экран дисплея ПК яв</w:t>
      </w:r>
      <w:r>
        <w:rPr>
          <w:color w:val="000000"/>
        </w:rPr>
        <w:t>ляе</w:t>
      </w:r>
      <w:r>
        <w:rPr>
          <w:color w:val="000000"/>
        </w:rPr>
        <w:t>т</w:t>
      </w:r>
      <w:r>
        <w:rPr>
          <w:color w:val="000000"/>
        </w:rPr>
        <w:t>ся источником широкого спектра излучения малой интенсивности. Провод</w:t>
      </w:r>
      <w:r>
        <w:rPr>
          <w:color w:val="000000"/>
        </w:rPr>
        <w:t>и</w:t>
      </w:r>
      <w:r>
        <w:rPr>
          <w:color w:val="000000"/>
        </w:rPr>
        <w:t>лись обследования людей, работающих на ПК от 2 до 6 лет по 3-6 часов в день (32 человека).</w:t>
      </w:r>
      <w:r>
        <w:rPr>
          <w:i/>
          <w:color w:val="000000"/>
        </w:rPr>
        <w:t xml:space="preserve"> У 64% были обнаружены отклон</w:t>
      </w:r>
      <w:r>
        <w:rPr>
          <w:i/>
          <w:color w:val="000000"/>
        </w:rPr>
        <w:t>е</w:t>
      </w:r>
      <w:r>
        <w:rPr>
          <w:i/>
          <w:color w:val="000000"/>
        </w:rPr>
        <w:t>ния характер</w:t>
      </w:r>
      <w:r>
        <w:rPr>
          <w:i/>
          <w:color w:val="000000"/>
        </w:rPr>
        <w:t>и</w:t>
      </w:r>
      <w:r>
        <w:rPr>
          <w:i/>
          <w:color w:val="000000"/>
        </w:rPr>
        <w:t>стик.</w:t>
      </w:r>
      <w:r>
        <w:rPr>
          <w:color w:val="000000"/>
        </w:rPr>
        <w:t xml:space="preserve"> </w:t>
      </w:r>
    </w:p>
    <w:p w14:paraId="3F95FCF8" w14:textId="77777777" w:rsidR="00000000" w:rsidRDefault="00FB13B6">
      <w:pPr>
        <w:pStyle w:val="a7"/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Экспериментальные исследования воздействия </w:t>
      </w:r>
      <w:r>
        <w:rPr>
          <w:b/>
          <w:color w:val="000000"/>
        </w:rPr>
        <w:t>электромагнитных волн</w:t>
      </w:r>
    </w:p>
    <w:p w14:paraId="78168E22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b/>
          <w:color w:val="000000"/>
        </w:rPr>
        <w:t xml:space="preserve">СВЧ-диапазон. </w:t>
      </w:r>
      <w:r>
        <w:rPr>
          <w:color w:val="000000"/>
        </w:rPr>
        <w:t>В Исследованиях участвовала группа врачей-добровольцев, по</w:t>
      </w:r>
      <w:r>
        <w:rPr>
          <w:color w:val="000000"/>
        </w:rPr>
        <w:t>д</w:t>
      </w:r>
      <w:r>
        <w:rPr>
          <w:color w:val="000000"/>
        </w:rPr>
        <w:t>вергавшихся специальному локальному облучению кистей рук электр</w:t>
      </w:r>
      <w:r>
        <w:rPr>
          <w:color w:val="000000"/>
        </w:rPr>
        <w:t>о</w:t>
      </w:r>
      <w:r>
        <w:rPr>
          <w:color w:val="000000"/>
        </w:rPr>
        <w:t>магнитным полем СВЧ - диапазона (F=2450 МГц, W=50 мВт/см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). Работа проводилась совместно с Инстит</w:t>
      </w:r>
      <w:r>
        <w:rPr>
          <w:color w:val="000000"/>
        </w:rPr>
        <w:t>у</w:t>
      </w:r>
      <w:r>
        <w:rPr>
          <w:color w:val="000000"/>
        </w:rPr>
        <w:t>том гигиены труда и профзаболевания. Каждый испытуемый облучался 4 раза с пром</w:t>
      </w:r>
      <w:r>
        <w:rPr>
          <w:color w:val="000000"/>
        </w:rPr>
        <w:t>е</w:t>
      </w:r>
      <w:r>
        <w:rPr>
          <w:color w:val="000000"/>
        </w:rPr>
        <w:t>жутками в несколько дней. Дл</w:t>
      </w:r>
      <w:r>
        <w:rPr>
          <w:color w:val="000000"/>
        </w:rPr>
        <w:t>и</w:t>
      </w:r>
      <w:r>
        <w:rPr>
          <w:color w:val="000000"/>
        </w:rPr>
        <w:t>тельность сеанса облучения 20 мин. До 1 сеанса и через 1 - 1,5 часа после каждого сеанса испытуемых обследовали по разработанной метод</w:t>
      </w:r>
      <w:r>
        <w:rPr>
          <w:color w:val="000000"/>
        </w:rPr>
        <w:t>и</w:t>
      </w:r>
      <w:r>
        <w:rPr>
          <w:color w:val="000000"/>
        </w:rPr>
        <w:t xml:space="preserve">ке. </w:t>
      </w:r>
    </w:p>
    <w:p w14:paraId="1457989A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 xml:space="preserve">Анализ </w:t>
      </w:r>
      <w:r>
        <w:rPr>
          <w:color w:val="000000"/>
        </w:rPr>
        <w:t>полученных данных показал, что после первого сеанса у всех исп</w:t>
      </w:r>
      <w:r>
        <w:rPr>
          <w:color w:val="000000"/>
        </w:rPr>
        <w:t>ы</w:t>
      </w:r>
      <w:r>
        <w:rPr>
          <w:color w:val="000000"/>
        </w:rPr>
        <w:t>туемых изменился характер спектров ОЭМГ. Причем изменения произошли не только в спектрах ОЭМГ мышц рук (облучались кисти рук), но и в спе</w:t>
      </w:r>
      <w:r>
        <w:rPr>
          <w:color w:val="000000"/>
        </w:rPr>
        <w:t>к</w:t>
      </w:r>
      <w:r>
        <w:rPr>
          <w:color w:val="000000"/>
        </w:rPr>
        <w:t xml:space="preserve">трах ОЭМГ мышц ног. </w:t>
      </w:r>
    </w:p>
    <w:p w14:paraId="7F86154C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Этот эффект сохранялся после после</w:t>
      </w:r>
      <w:r>
        <w:rPr>
          <w:color w:val="000000"/>
        </w:rPr>
        <w:t>дующих сеансов без изменения, что г</w:t>
      </w:r>
      <w:r>
        <w:rPr>
          <w:color w:val="000000"/>
        </w:rPr>
        <w:t>о</w:t>
      </w:r>
      <w:r>
        <w:rPr>
          <w:color w:val="000000"/>
        </w:rPr>
        <w:t>ворит о том, что даже локальное облучение электромагнитным полем СВЧ-диапазона вызывает общую реакцию организма. Эти же испытуемые проходили параллельно подробное кл</w:t>
      </w:r>
      <w:r>
        <w:rPr>
          <w:color w:val="000000"/>
        </w:rPr>
        <w:t>и</w:t>
      </w:r>
      <w:r>
        <w:rPr>
          <w:color w:val="000000"/>
        </w:rPr>
        <w:t xml:space="preserve">ническое обследование. </w:t>
      </w:r>
      <w:r>
        <w:rPr>
          <w:i/>
          <w:color w:val="000000"/>
        </w:rPr>
        <w:t>Никаких клинич</w:t>
      </w:r>
      <w:r>
        <w:rPr>
          <w:i/>
          <w:color w:val="000000"/>
        </w:rPr>
        <w:t>е</w:t>
      </w:r>
      <w:r>
        <w:rPr>
          <w:i/>
          <w:color w:val="000000"/>
        </w:rPr>
        <w:t xml:space="preserve">ских проявлений </w:t>
      </w:r>
      <w:r>
        <w:rPr>
          <w:i/>
          <w:color w:val="000000"/>
        </w:rPr>
        <w:t xml:space="preserve">эти обследования не выявили. </w:t>
      </w:r>
      <w:r>
        <w:rPr>
          <w:color w:val="000000"/>
        </w:rPr>
        <w:t>Через год выявленные нами признаки сохранились у всех испытуемых, а через 2 года у одного испыту</w:t>
      </w:r>
      <w:r>
        <w:rPr>
          <w:color w:val="000000"/>
        </w:rPr>
        <w:t>е</w:t>
      </w:r>
      <w:r>
        <w:rPr>
          <w:color w:val="000000"/>
        </w:rPr>
        <w:t>мого признаки нормализовались, т.е. вернулись к фоновому значению, а у остальных испытуемых наблюдалась тенденция к норм</w:t>
      </w:r>
      <w:r>
        <w:rPr>
          <w:color w:val="000000"/>
        </w:rPr>
        <w:t>а</w:t>
      </w:r>
      <w:r>
        <w:rPr>
          <w:color w:val="000000"/>
        </w:rPr>
        <w:t xml:space="preserve">лизации. </w:t>
      </w:r>
    </w:p>
    <w:p w14:paraId="55EBFE24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b/>
          <w:color w:val="000000"/>
        </w:rPr>
        <w:t>КВЧ-диапазон.</w:t>
      </w:r>
      <w:r>
        <w:rPr>
          <w:color w:val="000000"/>
        </w:rPr>
        <w:t xml:space="preserve"> Исследования проводились совместно с Институтом высшей нер</w:t>
      </w:r>
      <w:r>
        <w:rPr>
          <w:color w:val="000000"/>
        </w:rPr>
        <w:t>в</w:t>
      </w:r>
      <w:r>
        <w:rPr>
          <w:color w:val="000000"/>
        </w:rPr>
        <w:t>ной деятельности (лабораторией электромагнитных воздействий) с участием 3 испыту</w:t>
      </w:r>
      <w:r>
        <w:rPr>
          <w:color w:val="000000"/>
        </w:rPr>
        <w:t>е</w:t>
      </w:r>
      <w:r>
        <w:rPr>
          <w:color w:val="000000"/>
        </w:rPr>
        <w:t>мых, на которых осуществлялось воздействие и контрольной группы из 5 человек. Осущ</w:t>
      </w:r>
      <w:r>
        <w:rPr>
          <w:color w:val="000000"/>
        </w:rPr>
        <w:t>е</w:t>
      </w:r>
      <w:r>
        <w:rPr>
          <w:color w:val="000000"/>
        </w:rPr>
        <w:t>ствлялось локально</w:t>
      </w:r>
      <w:r>
        <w:rPr>
          <w:color w:val="000000"/>
        </w:rPr>
        <w:t>е воздействие на кисть руки электромагнитным полем ММ диапазона. Для воздействия использовался специальный КВЧ - излучатель, применяемым для физи</w:t>
      </w:r>
      <w:r>
        <w:rPr>
          <w:color w:val="000000"/>
        </w:rPr>
        <w:t>о</w:t>
      </w:r>
      <w:r>
        <w:rPr>
          <w:color w:val="000000"/>
        </w:rPr>
        <w:t>терапевтических процедур в медицине. Длина волны излучения 5,6 мм, мощность излуч</w:t>
      </w:r>
      <w:r>
        <w:rPr>
          <w:color w:val="000000"/>
        </w:rPr>
        <w:t>а</w:t>
      </w:r>
      <w:r>
        <w:rPr>
          <w:color w:val="000000"/>
        </w:rPr>
        <w:t>теля 10мВт/см</w:t>
      </w:r>
      <w:r>
        <w:rPr>
          <w:color w:val="000000"/>
          <w:vertAlign w:val="superscript"/>
        </w:rPr>
        <w:t>2</w:t>
      </w:r>
      <w:r>
        <w:rPr>
          <w:color w:val="000000"/>
        </w:rPr>
        <w:t>. Время воздей</w:t>
      </w:r>
      <w:r>
        <w:rPr>
          <w:color w:val="000000"/>
        </w:rPr>
        <w:t>ствия 20 минут. Проводилось воздействие на пр</w:t>
      </w:r>
      <w:r>
        <w:rPr>
          <w:color w:val="000000"/>
        </w:rPr>
        <w:t>а</w:t>
      </w:r>
      <w:r>
        <w:rPr>
          <w:color w:val="000000"/>
        </w:rPr>
        <w:t>вую руку (от 3 до 6 сеансов) и спустя 3-5 месяцев на левую руку (также до 6 сеансов). До начала с</w:t>
      </w:r>
      <w:r>
        <w:rPr>
          <w:color w:val="000000"/>
        </w:rPr>
        <w:t>е</w:t>
      </w:r>
      <w:r>
        <w:rPr>
          <w:color w:val="000000"/>
        </w:rPr>
        <w:t>анса воздействия и после сеанса регистрировалась электрическая активность мышц исп</w:t>
      </w:r>
      <w:r>
        <w:rPr>
          <w:color w:val="000000"/>
        </w:rPr>
        <w:t>ы</w:t>
      </w:r>
      <w:r>
        <w:rPr>
          <w:color w:val="000000"/>
        </w:rPr>
        <w:t xml:space="preserve">туемых. Сеансы проводились с </w:t>
      </w:r>
      <w:r>
        <w:rPr>
          <w:color w:val="000000"/>
        </w:rPr>
        <w:t>двух - трехдневными перерывами. Для контрольной гру</w:t>
      </w:r>
      <w:r>
        <w:rPr>
          <w:color w:val="000000"/>
        </w:rPr>
        <w:t>п</w:t>
      </w:r>
      <w:r>
        <w:rPr>
          <w:color w:val="000000"/>
        </w:rPr>
        <w:t>пы в 5 экспериментах регистрировалась электрическая активность мышц. Каждое обсл</w:t>
      </w:r>
      <w:r>
        <w:rPr>
          <w:color w:val="000000"/>
        </w:rPr>
        <w:t>е</w:t>
      </w:r>
      <w:r>
        <w:rPr>
          <w:color w:val="000000"/>
        </w:rPr>
        <w:t>дование проводилось также с двух- трехдневным разрывом. Условия проведения эксп</w:t>
      </w:r>
      <w:r>
        <w:rPr>
          <w:color w:val="000000"/>
        </w:rPr>
        <w:t>е</w:t>
      </w:r>
      <w:r>
        <w:rPr>
          <w:color w:val="000000"/>
        </w:rPr>
        <w:t>римента для всех испытуемых были одинаковы.</w:t>
      </w:r>
      <w:r>
        <w:rPr>
          <w:color w:val="000000"/>
        </w:rPr>
        <w:t xml:space="preserve"> Перед каждым сеансом проводилась з</w:t>
      </w:r>
      <w:r>
        <w:rPr>
          <w:color w:val="000000"/>
        </w:rPr>
        <w:t>а</w:t>
      </w:r>
      <w:r>
        <w:rPr>
          <w:color w:val="000000"/>
        </w:rPr>
        <w:t>пись исходного состояния испытуемого и запись после воздейс</w:t>
      </w:r>
      <w:r>
        <w:rPr>
          <w:color w:val="000000"/>
        </w:rPr>
        <w:t>т</w:t>
      </w:r>
      <w:r>
        <w:rPr>
          <w:color w:val="000000"/>
        </w:rPr>
        <w:t xml:space="preserve">вия. </w:t>
      </w:r>
    </w:p>
    <w:p w14:paraId="59819CE5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Изменения в спектрах подопытной группы были зафиксированы после второго с</w:t>
      </w:r>
      <w:r>
        <w:rPr>
          <w:color w:val="000000"/>
        </w:rPr>
        <w:t>е</w:t>
      </w:r>
      <w:r>
        <w:rPr>
          <w:color w:val="000000"/>
        </w:rPr>
        <w:t>анса воздействия. Причем эти изменения вначале фиксировались на стороне, контрла</w:t>
      </w:r>
      <w:r>
        <w:rPr>
          <w:color w:val="000000"/>
        </w:rPr>
        <w:t>т</w:t>
      </w:r>
      <w:r>
        <w:rPr>
          <w:color w:val="000000"/>
        </w:rPr>
        <w:t>е</w:t>
      </w:r>
      <w:r>
        <w:rPr>
          <w:color w:val="000000"/>
        </w:rPr>
        <w:t xml:space="preserve">ральной воздействию. </w:t>
      </w:r>
    </w:p>
    <w:p w14:paraId="5C6CD3A8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Исследование, проведенное через год после второй серии экспериментов, п</w:t>
      </w:r>
      <w:r>
        <w:rPr>
          <w:color w:val="000000"/>
        </w:rPr>
        <w:t>о</w:t>
      </w:r>
      <w:r>
        <w:rPr>
          <w:color w:val="000000"/>
        </w:rPr>
        <w:t xml:space="preserve">казало нормализацию спектров, т.е. возврат к первоначальному фону. </w:t>
      </w:r>
    </w:p>
    <w:p w14:paraId="5600C566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В контрольной группе никаких закономерных изменений выявлено не б</w:t>
      </w:r>
      <w:r>
        <w:rPr>
          <w:color w:val="000000"/>
        </w:rPr>
        <w:t>ы</w:t>
      </w:r>
      <w:r>
        <w:rPr>
          <w:color w:val="000000"/>
        </w:rPr>
        <w:t xml:space="preserve">ло. </w:t>
      </w:r>
    </w:p>
    <w:p w14:paraId="76A1AD12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i/>
          <w:color w:val="000000"/>
        </w:rPr>
        <w:t>Таким образом, экспер</w:t>
      </w:r>
      <w:r>
        <w:rPr>
          <w:i/>
          <w:color w:val="000000"/>
        </w:rPr>
        <w:t>иментальное исследование реакции человека на во</w:t>
      </w:r>
      <w:r>
        <w:rPr>
          <w:i/>
          <w:color w:val="000000"/>
        </w:rPr>
        <w:t>з</w:t>
      </w:r>
      <w:r>
        <w:rPr>
          <w:i/>
          <w:color w:val="000000"/>
        </w:rPr>
        <w:t>действие электромагнитных полей КВЧ диапазона показало, что эта реакция наблюдается и пе</w:t>
      </w:r>
      <w:r>
        <w:rPr>
          <w:i/>
          <w:color w:val="000000"/>
        </w:rPr>
        <w:t>р</w:t>
      </w:r>
      <w:r>
        <w:rPr>
          <w:i/>
          <w:color w:val="000000"/>
        </w:rPr>
        <w:t>вые ее признаки появляются на контрлатеральной ст</w:t>
      </w:r>
      <w:r>
        <w:rPr>
          <w:i/>
          <w:color w:val="000000"/>
        </w:rPr>
        <w:t>о</w:t>
      </w:r>
      <w:r>
        <w:rPr>
          <w:i/>
          <w:color w:val="000000"/>
        </w:rPr>
        <w:t>роне.</w:t>
      </w:r>
      <w:r>
        <w:rPr>
          <w:color w:val="000000"/>
        </w:rPr>
        <w:t xml:space="preserve"> </w:t>
      </w:r>
    </w:p>
    <w:p w14:paraId="337995A2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b/>
          <w:color w:val="000000"/>
        </w:rPr>
        <w:t>Ультразвук.</w:t>
      </w:r>
      <w:r>
        <w:rPr>
          <w:color w:val="000000"/>
        </w:rPr>
        <w:t xml:space="preserve"> Воздействие ультразвука на организм человека иссле</w:t>
      </w:r>
      <w:r>
        <w:rPr>
          <w:color w:val="000000"/>
        </w:rPr>
        <w:t>довалось с уч</w:t>
      </w:r>
      <w:r>
        <w:rPr>
          <w:color w:val="000000"/>
        </w:rPr>
        <w:t>а</w:t>
      </w:r>
      <w:r>
        <w:rPr>
          <w:color w:val="000000"/>
        </w:rPr>
        <w:t>стием врачей, работающих с ультразвуковой диагностической аппарат</w:t>
      </w:r>
      <w:r>
        <w:rPr>
          <w:color w:val="000000"/>
        </w:rPr>
        <w:t>у</w:t>
      </w:r>
      <w:r>
        <w:rPr>
          <w:color w:val="000000"/>
        </w:rPr>
        <w:t>рой (15 человек). Стаж работы с УЗ аппаратурой у обследуемых лежал в ди</w:t>
      </w:r>
      <w:r>
        <w:rPr>
          <w:color w:val="000000"/>
        </w:rPr>
        <w:t>а</w:t>
      </w:r>
      <w:r>
        <w:rPr>
          <w:color w:val="000000"/>
        </w:rPr>
        <w:t>пазоне от 1 до 10 лет. У всех обследуемых были выявлены изменения спе</w:t>
      </w:r>
      <w:r>
        <w:rPr>
          <w:color w:val="000000"/>
        </w:rPr>
        <w:t>к</w:t>
      </w:r>
      <w:r>
        <w:rPr>
          <w:color w:val="000000"/>
        </w:rPr>
        <w:t>трально - статистических характери</w:t>
      </w:r>
      <w:r>
        <w:rPr>
          <w:color w:val="000000"/>
        </w:rPr>
        <w:t xml:space="preserve">стик по сравнению с нормой. При этом многие испытуемые жаловались на частые головные боли, усталость, вялость. </w:t>
      </w:r>
      <w:r>
        <w:rPr>
          <w:i/>
          <w:color w:val="000000"/>
        </w:rPr>
        <w:t>Клинические исследование данной группы не показали каких-либо х</w:t>
      </w:r>
      <w:r>
        <w:rPr>
          <w:i/>
          <w:color w:val="000000"/>
        </w:rPr>
        <w:t>а</w:t>
      </w:r>
      <w:r>
        <w:rPr>
          <w:i/>
          <w:color w:val="000000"/>
        </w:rPr>
        <w:t>рактерных изм</w:t>
      </w:r>
      <w:r>
        <w:rPr>
          <w:i/>
          <w:color w:val="000000"/>
        </w:rPr>
        <w:t>е</w:t>
      </w:r>
      <w:r>
        <w:rPr>
          <w:i/>
          <w:color w:val="000000"/>
        </w:rPr>
        <w:t>нений</w:t>
      </w:r>
      <w:r>
        <w:rPr>
          <w:color w:val="000000"/>
        </w:rPr>
        <w:t xml:space="preserve">. </w:t>
      </w:r>
    </w:p>
    <w:p w14:paraId="5A6E38B3" w14:textId="77777777" w:rsidR="00000000" w:rsidRDefault="00FB13B6">
      <w:pPr>
        <w:pStyle w:val="H1"/>
        <w:spacing w:before="0" w:after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ВЫВОДЫ</w:t>
      </w:r>
    </w:p>
    <w:p w14:paraId="5182047E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Приведенные примеры, отвечают на вопрос, поставленны</w:t>
      </w:r>
      <w:r>
        <w:rPr>
          <w:color w:val="000000"/>
        </w:rPr>
        <w:t>й в заглавии. Централ</w:t>
      </w:r>
      <w:r>
        <w:rPr>
          <w:color w:val="000000"/>
        </w:rPr>
        <w:t>ь</w:t>
      </w:r>
      <w:r>
        <w:rPr>
          <w:color w:val="000000"/>
        </w:rPr>
        <w:t>ная нервная система человека является тонко реагирующим датчиком на различные вне</w:t>
      </w:r>
      <w:r>
        <w:rPr>
          <w:color w:val="000000"/>
        </w:rPr>
        <w:t>ш</w:t>
      </w:r>
      <w:r>
        <w:rPr>
          <w:color w:val="000000"/>
        </w:rPr>
        <w:t>ние воздействия. Эта система управляет не только мышцами человека, но и другими орг</w:t>
      </w:r>
      <w:r>
        <w:rPr>
          <w:color w:val="000000"/>
        </w:rPr>
        <w:t>а</w:t>
      </w:r>
      <w:r>
        <w:rPr>
          <w:color w:val="000000"/>
        </w:rPr>
        <w:t>нами. Можно сделать предположение, что если ЦНС меняет свое состояни</w:t>
      </w:r>
      <w:r>
        <w:rPr>
          <w:color w:val="000000"/>
        </w:rPr>
        <w:t>е (под возде</w:t>
      </w:r>
      <w:r>
        <w:rPr>
          <w:color w:val="000000"/>
        </w:rPr>
        <w:t>й</w:t>
      </w:r>
      <w:r>
        <w:rPr>
          <w:color w:val="000000"/>
        </w:rPr>
        <w:t>ствием какого-либо фактора), то это может найти свое отражение и в нарушении работы любого органа. Если предположить, что выявленный нами признак реакции человека на воздействия различных физических факторов есть показатель изменений ЦНС, то э</w:t>
      </w:r>
      <w:r>
        <w:rPr>
          <w:color w:val="000000"/>
        </w:rPr>
        <w:t>то м</w:t>
      </w:r>
      <w:r>
        <w:rPr>
          <w:color w:val="000000"/>
        </w:rPr>
        <w:t>о</w:t>
      </w:r>
      <w:r>
        <w:rPr>
          <w:color w:val="000000"/>
        </w:rPr>
        <w:t>жет найти свое отражение и в различного рода вегетативных наруш</w:t>
      </w:r>
      <w:r>
        <w:rPr>
          <w:color w:val="000000"/>
        </w:rPr>
        <w:t>е</w:t>
      </w:r>
      <w:r>
        <w:rPr>
          <w:color w:val="000000"/>
        </w:rPr>
        <w:t>ниях. В [25] показано, что Чернобыльская катастрофа привела к тенденции роста заболеваемости по всем осно</w:t>
      </w:r>
      <w:r>
        <w:rPr>
          <w:color w:val="000000"/>
        </w:rPr>
        <w:t>в</w:t>
      </w:r>
      <w:r>
        <w:rPr>
          <w:color w:val="000000"/>
        </w:rPr>
        <w:t>ным классам болезни населения, проживающего на загрязненных территориях. Таким о</w:t>
      </w:r>
      <w:r>
        <w:rPr>
          <w:color w:val="000000"/>
        </w:rPr>
        <w:t>б</w:t>
      </w:r>
      <w:r>
        <w:rPr>
          <w:color w:val="000000"/>
        </w:rPr>
        <w:t>разом, если действие факт</w:t>
      </w:r>
      <w:r>
        <w:rPr>
          <w:color w:val="000000"/>
        </w:rPr>
        <w:t>о</w:t>
      </w:r>
      <w:r>
        <w:rPr>
          <w:color w:val="000000"/>
        </w:rPr>
        <w:t>ра малой интенсивности было не однократным, то можно предположить, что это отразиться на с</w:t>
      </w:r>
      <w:r>
        <w:rPr>
          <w:color w:val="000000"/>
        </w:rPr>
        <w:t>о</w:t>
      </w:r>
      <w:r>
        <w:rPr>
          <w:color w:val="000000"/>
        </w:rPr>
        <w:t xml:space="preserve">стоянии здоровья человека. </w:t>
      </w:r>
    </w:p>
    <w:p w14:paraId="03F32AF9" w14:textId="77777777" w:rsidR="00000000" w:rsidRDefault="00FB13B6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Разработанный метод компьютерной обработки сигналов электрической активн</w:t>
      </w:r>
      <w:r>
        <w:rPr>
          <w:color w:val="000000"/>
        </w:rPr>
        <w:t>о</w:t>
      </w:r>
      <w:r>
        <w:rPr>
          <w:color w:val="000000"/>
        </w:rPr>
        <w:t xml:space="preserve">сти мышц может использоваться для: </w:t>
      </w:r>
    </w:p>
    <w:p w14:paraId="22C433BA" w14:textId="77777777" w:rsidR="00000000" w:rsidRDefault="00FB13B6">
      <w:pPr>
        <w:pStyle w:val="a7"/>
        <w:numPr>
          <w:ilvl w:val="0"/>
          <w:numId w:val="2"/>
        </w:numPr>
        <w:ind w:left="0" w:firstLine="709"/>
        <w:jc w:val="both"/>
        <w:rPr>
          <w:color w:val="000000"/>
        </w:rPr>
      </w:pPr>
      <w:r>
        <w:rPr>
          <w:color w:val="000000"/>
        </w:rPr>
        <w:t>оп</w:t>
      </w:r>
      <w:r>
        <w:rPr>
          <w:color w:val="000000"/>
        </w:rPr>
        <w:t xml:space="preserve">ределения реакции индивидуума на рассматриваемые в работе физические факторы воздействия; </w:t>
      </w:r>
    </w:p>
    <w:p w14:paraId="5C0132EC" w14:textId="77777777" w:rsidR="00000000" w:rsidRDefault="00FB13B6">
      <w:pPr>
        <w:pStyle w:val="a7"/>
        <w:numPr>
          <w:ilvl w:val="0"/>
          <w:numId w:val="2"/>
        </w:numPr>
        <w:ind w:left="0" w:firstLine="709"/>
        <w:jc w:val="both"/>
        <w:rPr>
          <w:color w:val="000000"/>
        </w:rPr>
      </w:pPr>
      <w:r>
        <w:rPr>
          <w:color w:val="000000"/>
        </w:rPr>
        <w:t>мониторинга состояния населения, живущего в экологически небл</w:t>
      </w:r>
      <w:r>
        <w:rPr>
          <w:color w:val="000000"/>
        </w:rPr>
        <w:t>а</w:t>
      </w:r>
      <w:r>
        <w:rPr>
          <w:color w:val="000000"/>
        </w:rPr>
        <w:t>гоприятных районах, а также людей профессионально связанных с различными ионизирующими и н</w:t>
      </w:r>
      <w:r>
        <w:rPr>
          <w:color w:val="000000"/>
        </w:rPr>
        <w:t>е</w:t>
      </w:r>
      <w:r>
        <w:rPr>
          <w:color w:val="000000"/>
        </w:rPr>
        <w:t>ионизирующим</w:t>
      </w:r>
      <w:r>
        <w:rPr>
          <w:color w:val="000000"/>
        </w:rPr>
        <w:t>и воздействи</w:t>
      </w:r>
      <w:r>
        <w:rPr>
          <w:color w:val="000000"/>
        </w:rPr>
        <w:t>я</w:t>
      </w:r>
      <w:r>
        <w:rPr>
          <w:color w:val="000000"/>
        </w:rPr>
        <w:t xml:space="preserve">ми. </w:t>
      </w:r>
    </w:p>
    <w:p w14:paraId="350B6519" w14:textId="77777777" w:rsidR="00FB13B6" w:rsidRDefault="00FB13B6">
      <w:pPr>
        <w:ind w:firstLine="709"/>
        <w:jc w:val="both"/>
      </w:pPr>
      <w:r>
        <w:rPr>
          <w:color w:val="000000"/>
        </w:rPr>
        <w:t>Ранее выявление реакции позволит своевременно принять профилактические меры для уменьшения риска заболевания.</w:t>
      </w:r>
    </w:p>
    <w:sectPr w:rsidR="00FB13B6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2A8D" w14:textId="77777777" w:rsidR="00FB13B6" w:rsidRDefault="00FB13B6">
      <w:r>
        <w:separator/>
      </w:r>
    </w:p>
  </w:endnote>
  <w:endnote w:type="continuationSeparator" w:id="0">
    <w:p w14:paraId="413ED056" w14:textId="77777777" w:rsidR="00FB13B6" w:rsidRDefault="00FB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976B" w14:textId="77777777" w:rsidR="00000000" w:rsidRDefault="00FB13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539ED6" w14:textId="77777777" w:rsidR="00000000" w:rsidRDefault="00FB13B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73F8" w14:textId="77777777" w:rsidR="00000000" w:rsidRDefault="00FB13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323CCC5C" w14:textId="77777777" w:rsidR="00000000" w:rsidRDefault="00FB13B6">
    <w:pPr>
      <w:pStyle w:val="a4"/>
      <w:ind w:right="360"/>
      <w:rPr>
        <w:color w:val="808080"/>
        <w:lang w:val="en-US"/>
      </w:rPr>
    </w:pPr>
    <w:r>
      <w:rPr>
        <w:color w:val="808080"/>
        <w:lang w:val="en-US"/>
      </w:rPr>
      <w:t>Hobbit 39281780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E94B" w14:textId="77777777" w:rsidR="00FB13B6" w:rsidRDefault="00FB13B6">
      <w:r>
        <w:separator/>
      </w:r>
    </w:p>
  </w:footnote>
  <w:footnote w:type="continuationSeparator" w:id="0">
    <w:p w14:paraId="5405A702" w14:textId="77777777" w:rsidR="00FB13B6" w:rsidRDefault="00FB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1C01" w14:textId="77777777" w:rsidR="00000000" w:rsidRDefault="00FB13B6">
    <w:pPr>
      <w:pStyle w:val="a6"/>
      <w:tabs>
        <w:tab w:val="clear" w:pos="4677"/>
        <w:tab w:val="left" w:pos="3369"/>
        <w:tab w:val="left" w:pos="4307"/>
      </w:tabs>
      <w:jc w:val="center"/>
    </w:pPr>
    <w:r>
      <w:fldChar w:fldCharType="begin"/>
    </w:r>
    <w:r>
      <w:instrText xml:space="preserve"> DATE \@ "dd.MM.yy" </w:instrText>
    </w:r>
    <w:r>
      <w:fldChar w:fldCharType="separate"/>
    </w:r>
    <w:r w:rsidR="003253C4">
      <w:rPr>
        <w:noProof/>
      </w:rPr>
      <w:t>08.04.25</w:t>
    </w:r>
    <w:r>
      <w:fldChar w:fldCharType="end"/>
    </w:r>
    <w:r>
      <w:tab/>
      <w:t>Школа № 244 11</w:t>
    </w:r>
    <w:r>
      <w:rPr>
        <w:vertAlign w:val="superscript"/>
      </w:rPr>
      <w:t>а</w:t>
    </w:r>
    <w:r>
      <w:t xml:space="preserve"> класс</w:t>
    </w:r>
    <w:r>
      <w:tab/>
      <w:t>Боков Егор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BDE39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C4"/>
    <w:rsid w:val="003253C4"/>
    <w:rsid w:val="00F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C20E7"/>
  <w15:chartTrackingRefBased/>
  <w15:docId w15:val="{A8985DE6-B24F-43E3-8B7D-09BDC6F2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spacing w:line="360" w:lineRule="auto"/>
      <w:jc w:val="both"/>
    </w:pPr>
    <w:rPr>
      <w:sz w:val="28"/>
      <w:szCs w:val="20"/>
    </w:rPr>
  </w:style>
  <w:style w:type="paragraph" w:styleId="a3">
    <w:name w:val="Body Text"/>
    <w:basedOn w:val="a"/>
    <w:semiHidden/>
    <w:pPr>
      <w:spacing w:line="360" w:lineRule="auto"/>
      <w:jc w:val="both"/>
    </w:pPr>
    <w:rPr>
      <w:szCs w:val="20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Normal">
    <w:name w:val="Normal"/>
    <w:pPr>
      <w:widowControl w:val="0"/>
      <w:spacing w:before="100" w:after="100"/>
    </w:pPr>
    <w:rPr>
      <w:snapToGrid w:val="0"/>
      <w:color w:val="000000"/>
      <w:sz w:val="24"/>
    </w:rPr>
  </w:style>
  <w:style w:type="character" w:customStyle="1" w:styleId="HTML">
    <w:name w:val="Разметка HTML"/>
    <w:rPr>
      <w:vanish/>
      <w:color w:val="FF0000"/>
    </w:rPr>
  </w:style>
  <w:style w:type="paragraph" w:customStyle="1" w:styleId="a7">
    <w:name w:val="Список определений"/>
    <w:basedOn w:val="Normal"/>
    <w:next w:val="a8"/>
    <w:pPr>
      <w:spacing w:before="0" w:after="0"/>
      <w:ind w:left="360"/>
    </w:pPr>
    <w:rPr>
      <w:color w:val="auto"/>
    </w:rPr>
  </w:style>
  <w:style w:type="paragraph" w:customStyle="1" w:styleId="a8">
    <w:name w:val="Термин"/>
    <w:basedOn w:val="Normal"/>
    <w:next w:val="a7"/>
    <w:pPr>
      <w:spacing w:before="0" w:after="0"/>
    </w:pPr>
    <w:rPr>
      <w:color w:val="auto"/>
    </w:rPr>
  </w:style>
  <w:style w:type="character" w:styleId="a9">
    <w:name w:val="Hyperlink"/>
    <w:basedOn w:val="a0"/>
    <w:semiHidden/>
    <w:rPr>
      <w:color w:val="0000FF"/>
      <w:u w:val="single"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color w:val="auto"/>
      <w:kern w:val="3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u.rssi.ru/publ/htr/ME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u.rssi.ru/publ/htr/EMG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4374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Ионизирующее излучение и радиоактивность</vt:lpstr>
    </vt:vector>
  </TitlesOfParts>
  <Company>Egor &amp; com.</Company>
  <LinksUpToDate>false</LinksUpToDate>
  <CharactersWithSpaces>29254</CharactersWithSpaces>
  <SharedDoc>false</SharedDoc>
  <HLinks>
    <vt:vector size="12" baseType="variant">
      <vt:variant>
        <vt:i4>3407931</vt:i4>
      </vt:variant>
      <vt:variant>
        <vt:i4>3</vt:i4>
      </vt:variant>
      <vt:variant>
        <vt:i4>0</vt:i4>
      </vt:variant>
      <vt:variant>
        <vt:i4>5</vt:i4>
      </vt:variant>
      <vt:variant>
        <vt:lpwstr>http://www.ipu.rssi.ru/publ/htr/MET.HTM</vt:lpwstr>
      </vt:variant>
      <vt:variant>
        <vt:lpwstr/>
      </vt:variant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http://www.ipu.rssi.ru/publ/htr/EMG.HTM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Ионизирующее излучение и радиоактивность</dc:title>
  <dc:subject/>
  <dc:creator>Bokov Egor</dc:creator>
  <cp:keywords/>
  <dc:description/>
  <cp:lastModifiedBy>Igor</cp:lastModifiedBy>
  <cp:revision>3</cp:revision>
  <cp:lastPrinted>2000-05-04T18:18:00Z</cp:lastPrinted>
  <dcterms:created xsi:type="dcterms:W3CDTF">2025-04-08T10:46:00Z</dcterms:created>
  <dcterms:modified xsi:type="dcterms:W3CDTF">2025-04-08T10:46:00Z</dcterms:modified>
</cp:coreProperties>
</file>