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6601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5F092461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7CC58C5B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41A66736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27D248AD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493AE851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73EF5299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3F40BC5B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3186C3CE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1A127A06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caps/>
          <w:sz w:val="28"/>
          <w:szCs w:val="28"/>
        </w:rPr>
      </w:pPr>
    </w:p>
    <w:p w14:paraId="51DFF6E5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Выбор котельных агрегатов </w:t>
      </w:r>
      <w:r>
        <w:rPr>
          <w:caps/>
          <w:sz w:val="28"/>
          <w:szCs w:val="28"/>
        </w:rPr>
        <w:t>ТЭС</w:t>
      </w:r>
    </w:p>
    <w:p w14:paraId="180F8A4F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739A762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69D7144B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котельная установка топливо водоподготовка</w:t>
      </w:r>
    </w:p>
    <w:p w14:paraId="7B327C33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котельных агрегатов определяется: 1) видом топлива; 2)параметрами и расходом пара; 3)способом удаления шлака; 4)компоновкой и технологической схемой котла</w:t>
      </w:r>
      <w:r>
        <w:rPr>
          <w:sz w:val="28"/>
          <w:szCs w:val="28"/>
        </w:rPr>
        <w:t>; 5)габаритными размерами.</w:t>
      </w:r>
    </w:p>
    <w:p w14:paraId="5AD3B380" w14:textId="77777777" w:rsidR="00000000" w:rsidRDefault="00F47C5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По виду используемого топлива котлы бывают: газомазутные, пылеугольные.</w:t>
      </w:r>
    </w:p>
    <w:p w14:paraId="069A22D3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Пылеугольные котельные агрегаты выполняются под конкретный вид твёрдого топлива.</w:t>
      </w:r>
    </w:p>
    <w:p w14:paraId="6236ACA7" w14:textId="77777777" w:rsidR="00000000" w:rsidRDefault="00F47C5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Параметры пара паровых котлов выбирают с учётом потерь давления и темп</w:t>
      </w:r>
      <w:r>
        <w:rPr>
          <w:sz w:val="28"/>
          <w:szCs w:val="28"/>
        </w:rPr>
        <w:t>ературы при транспорте.</w:t>
      </w:r>
    </w:p>
    <w:p w14:paraId="668A5EC1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561F504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</w:t>
      </w:r>
      <w:r>
        <w:rPr>
          <w:sz w:val="28"/>
          <w:szCs w:val="28"/>
          <w:vertAlign w:val="subscript"/>
        </w:rPr>
        <w:t>ПК</w:t>
      </w:r>
      <w:r>
        <w:rPr>
          <w:sz w:val="28"/>
          <w:szCs w:val="28"/>
        </w:rPr>
        <w:t xml:space="preserve">=(1,04-1,09)Ро; </w:t>
      </w:r>
      <w:r>
        <w:rPr>
          <w:sz w:val="28"/>
          <w:szCs w:val="28"/>
          <w:lang w:val="en-US"/>
        </w:rPr>
        <w:t>to</w:t>
      </w:r>
      <w:r>
        <w:rPr>
          <w:sz w:val="28"/>
          <w:szCs w:val="28"/>
          <w:vertAlign w:val="subscript"/>
        </w:rPr>
        <w:t>ПК</w:t>
      </w:r>
      <w:r>
        <w:rPr>
          <w:sz w:val="28"/>
          <w:szCs w:val="28"/>
        </w:rPr>
        <w:t>=(1,02-1,03)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о</w:t>
      </w:r>
    </w:p>
    <w:p w14:paraId="7A0191A9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93E0039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Паропроизводительность паровых котлов энергоблока выбирают по максимальному расходу пара на турбинную установку с запасом 3 %, учитывая гарантийный допуск, возможное ухудшение вакуума, сниже</w:t>
      </w:r>
      <w:r>
        <w:rPr>
          <w:sz w:val="28"/>
          <w:szCs w:val="28"/>
        </w:rPr>
        <w:t>ия параметров пара в допустимых пределах, потери пара на пути о парового котла к турбине.</w:t>
      </w:r>
    </w:p>
    <w:p w14:paraId="4A9B600D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5C0A84A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ПК</w:t>
      </w:r>
      <w:r>
        <w:rPr>
          <w:sz w:val="28"/>
          <w:szCs w:val="28"/>
        </w:rPr>
        <w:t>=(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)1,03</w:t>
      </w:r>
    </w:p>
    <w:p w14:paraId="0B05095C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Do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=2,2%</w:t>
      </w:r>
      <w:r>
        <w:rPr>
          <w:sz w:val="28"/>
          <w:szCs w:val="28"/>
          <w:lang w:val="en-US"/>
        </w:rPr>
        <w:t>Do</w:t>
      </w:r>
    </w:p>
    <w:p w14:paraId="5B44C62B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8733EDA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Резервные энергетические котлы на ТЭЦ не устанавливаются. Их количество обычно соответствует количеству турбин.</w:t>
      </w:r>
    </w:p>
    <w:p w14:paraId="783F2C39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ТЭЦ количество ПВК о</w:t>
      </w:r>
      <w:r>
        <w:rPr>
          <w:sz w:val="28"/>
          <w:szCs w:val="28"/>
        </w:rPr>
        <w:t>пределяется нагрузкой ПВК.</w:t>
      </w:r>
    </w:p>
    <w:p w14:paraId="2A9090CD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70FD953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ПВК</w:t>
      </w:r>
      <w:r>
        <w:rPr>
          <w:sz w:val="28"/>
          <w:szCs w:val="28"/>
        </w:rPr>
        <w:t>=</w:t>
      </w:r>
      <w:r>
        <w:rPr>
          <w:rFonts w:ascii="Microsoft Sans Serif" w:hAnsi="Microsoft Sans Serif" w:cs="Microsoft Sans Serif"/>
          <w:sz w:val="17"/>
          <w:szCs w:val="17"/>
        </w:rPr>
        <w:object w:dxaOrig="1859" w:dyaOrig="409" w14:anchorId="56108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0.25pt" o:ole="">
            <v:imagedata r:id="rId4" o:title=""/>
          </v:shape>
          <o:OLEObject Type="Embed" ProgID="Equation.3" ShapeID="_x0000_i1025" DrawAspect="Content" ObjectID="_1807259236" r:id="rId5"/>
        </w:object>
      </w:r>
    </w:p>
    <w:p w14:paraId="0610F842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4505" w:dyaOrig="510" w14:anchorId="525F66B2">
          <v:shape id="_x0000_i1026" type="#_x0000_t75" style="width:225pt;height:25.5pt" o:ole="">
            <v:imagedata r:id="rId6" o:title=""/>
          </v:shape>
          <o:OLEObject Type="Embed" ProgID="Equation.3" ShapeID="_x0000_i1026" DrawAspect="Content" ObjectID="_1807259237" r:id="rId7"/>
        </w:object>
      </w:r>
    </w:p>
    <w:p w14:paraId="5410AACE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На ТЭЦ в качестве резерва промышленной нагрузки используется увеличение давления в отборе </w:t>
      </w:r>
      <w:r>
        <w:rPr>
          <w:sz w:val="28"/>
          <w:szCs w:val="28"/>
        </w:rPr>
        <w:t>сверх номинального за счёт снижения электрической нагрузки.</w:t>
      </w:r>
    </w:p>
    <w:p w14:paraId="1E758ED5" w14:textId="77777777" w:rsidR="00000000" w:rsidRDefault="00F47C5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По виду шлакоудаления котлы могут быть:1) с твёрдым шлакоудалением - при использовании высокореакционных, нешлакующихся топлив с тугоплавкой золой; 2) с жидким шлакоудалением - при использовани</w:t>
      </w:r>
      <w:r>
        <w:rPr>
          <w:sz w:val="28"/>
          <w:szCs w:val="28"/>
        </w:rPr>
        <w:t>и низкореакционных топлив с легкоплавкой золой (Берёзовский, Назаровский, Подмосковный угли)</w:t>
      </w:r>
    </w:p>
    <w:p w14:paraId="1EF54DBC" w14:textId="77777777" w:rsidR="00000000" w:rsidRDefault="00F47C5B">
      <w:pPr>
        <w:pStyle w:val="3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3B3DC4B" w14:textId="77777777" w:rsidR="00000000" w:rsidRDefault="00F47C5B">
      <w:pPr>
        <w:pStyle w:val="3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Типы котлов</w:t>
      </w:r>
    </w:p>
    <w:p w14:paraId="66170F85" w14:textId="77777777" w:rsidR="00000000" w:rsidRDefault="00F47C5B">
      <w:pPr>
        <w:ind w:firstLine="709"/>
        <w:rPr>
          <w:lang w:val="en-US"/>
        </w:rPr>
      </w:pPr>
    </w:p>
    <w:p w14:paraId="1DBB5F33" w14:textId="77777777" w:rsidR="00000000" w:rsidRDefault="00F47C5B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Барабанные котельные агрегаты (Рпп=100 атм; Рпп=130 атм )</w:t>
      </w:r>
    </w:p>
    <w:p w14:paraId="383FE100" w14:textId="77777777" w:rsidR="00000000" w:rsidRDefault="00F47C5B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тип котлов применяют на ТЭЦ, где имеются большие потери пара и конденсата, т.</w:t>
      </w:r>
      <w:r>
        <w:rPr>
          <w:sz w:val="28"/>
          <w:szCs w:val="28"/>
        </w:rPr>
        <w:t>к. они менее требовательны к качеству питательной воды, чем прямоточные.</w:t>
      </w:r>
    </w:p>
    <w:p w14:paraId="05A77CB1" w14:textId="77777777" w:rsidR="00000000" w:rsidRDefault="00F47C5B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Прямоточные котельные агрегаты (Рпп=240 атм) используются на КЭС, где потери пара и конденсата минимальны.</w:t>
      </w:r>
    </w:p>
    <w:p w14:paraId="056754EA" w14:textId="77777777" w:rsidR="00000000" w:rsidRDefault="00F47C5B">
      <w:pPr>
        <w:pStyle w:val="2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8315AD7" w14:textId="77777777" w:rsidR="00000000" w:rsidRDefault="00F47C5B">
      <w:pPr>
        <w:pStyle w:val="2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Выбор турбин и конденсаторов</w:t>
      </w:r>
    </w:p>
    <w:p w14:paraId="4876CF09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0F15973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турбин и генераторов согла</w:t>
      </w:r>
      <w:r>
        <w:rPr>
          <w:sz w:val="28"/>
          <w:szCs w:val="28"/>
        </w:rPr>
        <w:t>сована по мощности, поэтому каждой турбине соответствует свой стандартный генератор.</w:t>
      </w:r>
    </w:p>
    <w:p w14:paraId="160147B4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блочных КЭС: </w:t>
      </w:r>
      <w:r>
        <w:rPr>
          <w:rFonts w:ascii="Microsoft Sans Serif" w:hAnsi="Microsoft Sans Serif" w:cs="Microsoft Sans Serif"/>
          <w:sz w:val="17"/>
          <w:szCs w:val="17"/>
        </w:rPr>
        <w:object w:dxaOrig="1860" w:dyaOrig="540" w14:anchorId="30F38CC9">
          <v:shape id="_x0000_i1027" type="#_x0000_t75" style="width:93pt;height:27pt" o:ole="">
            <v:imagedata r:id="rId8" o:title=""/>
          </v:shape>
          <o:OLEObject Type="Embed" ProgID="Equation.3" ShapeID="_x0000_i1027" DrawAspect="Content" ObjectID="_1807259238" r:id="rId9"/>
        </w:object>
      </w:r>
    </w:p>
    <w:p w14:paraId="4A287D56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0E5D27E2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3440" w:dyaOrig="540" w14:anchorId="0A6CD7DC">
          <v:shape id="_x0000_i1028" type="#_x0000_t75" style="width:171.75pt;height:27pt" o:ole="">
            <v:imagedata r:id="rId10" o:title=""/>
          </v:shape>
          <o:OLEObject Type="Embed" ProgID="Equation.3" ShapeID="_x0000_i1028" DrawAspect="Content" ObjectID="_1807259239" r:id="rId11"/>
        </w:object>
      </w:r>
    </w:p>
    <w:p w14:paraId="26CFC233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0B59E1BE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ТЭЦ набор турбин определяется отношением мощности отопительной и промышленной нагрузки. Главной для выбора турбин является тепловая нагрузка.</w:t>
      </w:r>
    </w:p>
    <w:p w14:paraId="1235E6E1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Если: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п&gt;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т, устанавливают турбины типа ПТ, если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п&lt;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- первая очередь турбины типа ПТ, а затем типа Т. Турбины типа Р (с противодавлением) устанавливают по необходимости и на второй очереди ТЭЦ.</w:t>
      </w:r>
    </w:p>
    <w:p w14:paraId="38E709B3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Резервные турбины на ТЭЦ не устанавливаются. </w:t>
      </w:r>
    </w:p>
    <w:p w14:paraId="126BE834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Резервом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п являются:1) возможность увеличения давления в отборе вы</w:t>
      </w:r>
      <w:r>
        <w:rPr>
          <w:sz w:val="28"/>
          <w:szCs w:val="28"/>
        </w:rPr>
        <w:t>ше номинального за счёт снижения электрической нагрузки на мощность одного агрегата;</w:t>
      </w:r>
    </w:p>
    <w:p w14:paraId="50B7D401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РОУ мощностью, соответствующей одному отбору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п.</w:t>
      </w:r>
    </w:p>
    <w:p w14:paraId="374CFE49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т(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т) резервом являются ПВК.</w:t>
      </w:r>
    </w:p>
    <w:p w14:paraId="1FC3FAC8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Турбоагрегаты изолированных ТЭЦ выбирают так, чтобы при выходе из строя одного из них, </w:t>
      </w:r>
      <w:r>
        <w:rPr>
          <w:sz w:val="28"/>
          <w:szCs w:val="28"/>
        </w:rPr>
        <w:t>было обеспечено покрытие электрических и тепловых нагрузок с учётом допускаемого потребителями регулирования.</w:t>
      </w:r>
    </w:p>
    <w:p w14:paraId="3C789057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8463098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. Выбор вспомогательного оборудования турбинной установки</w:t>
      </w:r>
    </w:p>
    <w:p w14:paraId="37C33300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6886389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вспомогательному оборудованию турбинной установки относят: регенеративные теплообме</w:t>
      </w:r>
      <w:r>
        <w:rPr>
          <w:sz w:val="28"/>
          <w:szCs w:val="28"/>
        </w:rPr>
        <w:t xml:space="preserve">нники, деаэратор. конденсатор, сетевые подогреватели, охладители пара и дренажа, насосы (питательные, конденсатные, дренажные, циркуляционные, подпиточные, сетевые); баковое хозяйство (баки-аккумуляторы деаэраторов, баки запаса питательной воды, дренажные </w:t>
      </w:r>
      <w:r>
        <w:rPr>
          <w:sz w:val="28"/>
          <w:szCs w:val="28"/>
        </w:rPr>
        <w:t>баки).</w:t>
      </w:r>
    </w:p>
    <w:p w14:paraId="495F651F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BB734BE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Выбор теплообменников в тепловой схеме</w:t>
      </w:r>
    </w:p>
    <w:p w14:paraId="6E6F5F19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1A02882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Регенеративные подогреватели входят в комплект поставки турбины (выбирают по:</w:t>
      </w:r>
      <w:r>
        <w:rPr>
          <w:rFonts w:ascii="Microsoft Sans Serif" w:hAnsi="Microsoft Sans Serif" w:cs="Microsoft Sans Serif"/>
          <w:sz w:val="17"/>
          <w:szCs w:val="17"/>
        </w:rPr>
        <w:object w:dxaOrig="740" w:dyaOrig="420" w14:anchorId="0CA1C86D">
          <v:shape id="_x0000_i1029" type="#_x0000_t75" style="width:36.75pt;height:21pt" o:ole="">
            <v:imagedata r:id="rId12" o:title=""/>
          </v:shape>
          <o:OLEObject Type="Embed" ProgID="Equation.3" ShapeID="_x0000_i1029" DrawAspect="Content" ObjectID="_1807259240" r:id="rId13"/>
        </w:object>
      </w:r>
      <w:r>
        <w:rPr>
          <w:sz w:val="28"/>
          <w:szCs w:val="28"/>
        </w:rPr>
        <w:t>;</w:t>
      </w:r>
      <w:r>
        <w:rPr>
          <w:rFonts w:ascii="Microsoft Sans Serif" w:hAnsi="Microsoft Sans Serif" w:cs="Microsoft Sans Serif"/>
          <w:sz w:val="17"/>
          <w:szCs w:val="17"/>
        </w:rPr>
        <w:object w:dxaOrig="700" w:dyaOrig="460" w14:anchorId="3592A53C">
          <v:shape id="_x0000_i1030" type="#_x0000_t75" style="width:35.25pt;height:23.25pt" o:ole="">
            <v:imagedata r:id="rId14" o:title=""/>
          </v:shape>
          <o:OLEObject Type="Embed" ProgID="Equation.3" ShapeID="_x0000_i1030" DrawAspect="Content" ObjectID="_1807259241" r:id="rId15"/>
        </w:object>
      </w:r>
      <w:r>
        <w:rPr>
          <w:rFonts w:ascii="Microsoft Sans Serif" w:hAnsi="Microsoft Sans Serif" w:cs="Microsoft Sans Serif"/>
          <w:sz w:val="17"/>
          <w:szCs w:val="17"/>
        </w:rPr>
        <w:object w:dxaOrig="580" w:dyaOrig="460" w14:anchorId="55D9CC02">
          <v:shape id="_x0000_i1031" type="#_x0000_t75" style="width:29.25pt;height:23.25pt" o:ole="">
            <v:imagedata r:id="rId16" o:title=""/>
          </v:shape>
          <o:OLEObject Type="Embed" ProgID="Equation.3" ShapeID="_x0000_i1031" DrawAspect="Content" ObjectID="_1807259242" r:id="rId17"/>
        </w:object>
      </w:r>
      <w:r>
        <w:rPr>
          <w:sz w:val="28"/>
          <w:szCs w:val="28"/>
        </w:rPr>
        <w:t xml:space="preserve"> ) Резервные ПВД и ПНД не устанавливаются, в случае выхода из строя одного из них включается байпас подогревателя.</w:t>
      </w:r>
    </w:p>
    <w:p w14:paraId="383EE8C1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Деаэраторы выбирают по</w:t>
      </w:r>
      <w:r>
        <w:rPr>
          <w:rFonts w:ascii="Microsoft Sans Serif" w:hAnsi="Microsoft Sans Serif" w:cs="Microsoft Sans Serif"/>
          <w:sz w:val="17"/>
          <w:szCs w:val="17"/>
        </w:rPr>
        <w:object w:dxaOrig="740" w:dyaOrig="400" w14:anchorId="1F744112">
          <v:shape id="_x0000_i1032" type="#_x0000_t75" style="width:36.75pt;height:20.25pt" o:ole="">
            <v:imagedata r:id="rId18" o:title=""/>
          </v:shape>
          <o:OLEObject Type="Embed" ProgID="Equation.3" ShapeID="_x0000_i1032" DrawAspect="Content" ObjectID="_1807259243" r:id="rId19"/>
        </w:object>
      </w:r>
      <w:r>
        <w:rPr>
          <w:sz w:val="28"/>
          <w:szCs w:val="28"/>
        </w:rPr>
        <w:t xml:space="preserve"> и Рпв - один или два на блок, на внеблочной станции один или два на турбину.</w:t>
      </w:r>
    </w:p>
    <w:p w14:paraId="607412AC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Общее число деаэраторов внеблочных станций должно быть таким, чтобы при отключении одного, остальные обеспечивали </w:t>
      </w:r>
      <w:r>
        <w:rPr>
          <w:rFonts w:ascii="Microsoft Sans Serif" w:hAnsi="Microsoft Sans Serif" w:cs="Microsoft Sans Serif"/>
          <w:sz w:val="17"/>
          <w:szCs w:val="17"/>
        </w:rPr>
        <w:object w:dxaOrig="780" w:dyaOrig="400" w14:anchorId="49F108EF">
          <v:shape id="_x0000_i1033" type="#_x0000_t75" style="width:39pt;height:20.25pt" o:ole="">
            <v:imagedata r:id="rId20" o:title=""/>
          </v:shape>
          <o:OLEObject Type="Embed" ProgID="Equation.3" ShapeID="_x0000_i1033" DrawAspect="Content" ObjectID="_1807259244" r:id="rId21"/>
        </w:object>
      </w:r>
      <w:r>
        <w:rPr>
          <w:sz w:val="28"/>
          <w:szCs w:val="28"/>
        </w:rPr>
        <w:t>.</w:t>
      </w:r>
    </w:p>
    <w:p w14:paraId="5FFD332A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Конденсаторы входят в комплект поставки турбины (выбираются по: </w:t>
      </w:r>
      <w:r>
        <w:rPr>
          <w:rFonts w:ascii="Microsoft Sans Serif" w:hAnsi="Microsoft Sans Serif" w:cs="Microsoft Sans Serif"/>
          <w:sz w:val="17"/>
          <w:szCs w:val="17"/>
        </w:rPr>
        <w:object w:dxaOrig="740" w:dyaOrig="400" w14:anchorId="3EF097E9">
          <v:shape id="_x0000_i1034" type="#_x0000_t75" style="width:36.75pt;height:20.25pt" o:ole="">
            <v:imagedata r:id="rId22" o:title=""/>
          </v:shape>
          <o:OLEObject Type="Embed" ProgID="Equation.3" ShapeID="_x0000_i1034" DrawAspect="Content" ObjectID="_1807259245" r:id="rId23"/>
        </w:object>
      </w:r>
      <w:r>
        <w:rPr>
          <w:sz w:val="28"/>
          <w:szCs w:val="28"/>
        </w:rPr>
        <w:t>;Р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sz w:val="17"/>
          <w:szCs w:val="17"/>
        </w:rPr>
        <w:object w:dxaOrig="740" w:dyaOrig="420" w14:anchorId="2F008C61">
          <v:shape id="_x0000_i1035" type="#_x0000_t75" style="width:36.75pt;height:21pt" o:ole="">
            <v:imagedata r:id="rId24" o:title=""/>
          </v:shape>
          <o:OLEObject Type="Embed" ProgID="Equation.3" ShapeID="_x0000_i1035" DrawAspect="Content" ObjectID="_1807259246" r:id="rId25"/>
        </w:object>
      </w:r>
      <w:r>
        <w:rPr>
          <w:sz w:val="28"/>
          <w:szCs w:val="28"/>
        </w:rPr>
        <w:t>; Р</w:t>
      </w:r>
      <w:r>
        <w:rPr>
          <w:sz w:val="28"/>
          <w:szCs w:val="28"/>
          <w:vertAlign w:val="subscript"/>
        </w:rPr>
        <w:t>цв</w:t>
      </w:r>
      <w:r>
        <w:rPr>
          <w:sz w:val="28"/>
          <w:szCs w:val="28"/>
        </w:rPr>
        <w:t>).Устанавливается один или два на турбину, резервный конденсатор не предусмотрен.</w:t>
      </w:r>
    </w:p>
    <w:p w14:paraId="0FA0B491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Сетевые подогреватели входят в комплект поставки турбины (выбирают по: Рт, Рт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сет, Рсет ) Резервом для ПСВ являются ПВК, поэтому резервные ПСВ не устанавливают.</w:t>
      </w:r>
    </w:p>
    <w:p w14:paraId="233BDE24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Мазу</w:t>
      </w:r>
      <w:r>
        <w:rPr>
          <w:sz w:val="28"/>
          <w:szCs w:val="28"/>
        </w:rPr>
        <w:t xml:space="preserve">тные подогреватели - выбирают по: </w:t>
      </w:r>
      <w:r>
        <w:rPr>
          <w:rFonts w:ascii="Microsoft Sans Serif" w:hAnsi="Microsoft Sans Serif" w:cs="Microsoft Sans Serif"/>
          <w:sz w:val="17"/>
          <w:szCs w:val="17"/>
        </w:rPr>
        <w:object w:dxaOrig="740" w:dyaOrig="400" w14:anchorId="43162AB2">
          <v:shape id="_x0000_i1036" type="#_x0000_t75" style="width:36.75pt;height:20.25pt" o:ole="">
            <v:imagedata r:id="rId26" o:title=""/>
          </v:shape>
          <o:OLEObject Type="Embed" ProgID="Equation.3" ShapeID="_x0000_i1036" DrawAspect="Content" ObjectID="_1807259247" r:id="rId27"/>
        </w:object>
      </w:r>
      <w:r>
        <w:rPr>
          <w:sz w:val="28"/>
          <w:szCs w:val="28"/>
        </w:rPr>
        <w:t xml:space="preserve">; Рм;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м;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п;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п.</w:t>
      </w:r>
    </w:p>
    <w:p w14:paraId="4AC5DF26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правило устанавливается не менее трёх мазутных подогревателей, один из которых - резервный.</w:t>
      </w:r>
    </w:p>
    <w:p w14:paraId="240E8701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C5DEECE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 Выбор насосов</w:t>
      </w:r>
    </w:p>
    <w:p w14:paraId="1A9F2C94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677DF823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Питательные насосы выбир</w:t>
      </w:r>
      <w:r>
        <w:rPr>
          <w:sz w:val="28"/>
          <w:szCs w:val="28"/>
        </w:rPr>
        <w:t xml:space="preserve">ают по </w:t>
      </w:r>
      <w:r>
        <w:rPr>
          <w:rFonts w:ascii="Microsoft Sans Serif" w:hAnsi="Microsoft Sans Serif" w:cs="Microsoft Sans Serif"/>
          <w:sz w:val="17"/>
          <w:szCs w:val="17"/>
        </w:rPr>
        <w:object w:dxaOrig="740" w:dyaOrig="400" w14:anchorId="4470D71D">
          <v:shape id="_x0000_i1037" type="#_x0000_t75" style="width:36.75pt;height:20.25pt" o:ole="">
            <v:imagedata r:id="rId18" o:title=""/>
          </v:shape>
          <o:OLEObject Type="Embed" ProgID="Equation.3" ShapeID="_x0000_i1037" DrawAspect="Content" ObjectID="_1807259248" r:id="rId28"/>
        </w:object>
      </w:r>
      <w:r>
        <w:rPr>
          <w:sz w:val="28"/>
          <w:szCs w:val="28"/>
        </w:rPr>
        <w:t xml:space="preserve"> и Рпн</w:t>
      </w:r>
    </w:p>
    <w:p w14:paraId="66A556C4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пв=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опк+0,05</w:t>
      </w:r>
      <w:r>
        <w:rPr>
          <w:sz w:val="28"/>
          <w:szCs w:val="28"/>
          <w:lang w:val="en-US"/>
        </w:rPr>
        <w:t>Do</w:t>
      </w:r>
      <w:r>
        <w:rPr>
          <w:sz w:val="28"/>
          <w:szCs w:val="28"/>
        </w:rPr>
        <w:t>пк</w:t>
      </w:r>
    </w:p>
    <w:p w14:paraId="6FFE874D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1299769B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 Для барабанных котельных агрегатов</w:t>
      </w:r>
    </w:p>
    <w:p w14:paraId="2467E5DD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40EA02B0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4531" w:dyaOrig="481" w14:anchorId="37F95551">
          <v:shape id="_x0000_i1038" type="#_x0000_t75" style="width:226.5pt;height:24pt" o:ole="">
            <v:imagedata r:id="rId29" o:title=""/>
          </v:shape>
          <o:OLEObject Type="Embed" ProgID="Equation.3" ShapeID="_x0000_i1038" DrawAspect="Content" ObjectID="_1807259249" r:id="rId30"/>
        </w:object>
      </w:r>
    </w:p>
    <w:p w14:paraId="6C75E4A3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01D14518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Для прямоточных котельных агрегатов</w:t>
      </w:r>
    </w:p>
    <w:p w14:paraId="54545134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41BC2D88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5528" w:dyaOrig="459" w14:anchorId="734ADFD6">
          <v:shape id="_x0000_i1039" type="#_x0000_t75" style="width:276.75pt;height:23.25pt" o:ole="">
            <v:imagedata r:id="rId31" o:title=""/>
          </v:shape>
          <o:OLEObject Type="Embed" ProgID="Equation.3" ShapeID="_x0000_i1039" DrawAspect="Content" ObjectID="_1807259250" r:id="rId32"/>
        </w:object>
      </w:r>
    </w:p>
    <w:p w14:paraId="6B2B8BA0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0098756F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Рб - рабочее давление в паровом котле;</w:t>
      </w:r>
    </w:p>
    <w:p w14:paraId="73DDE3FC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Рд- давление в деаэраторе;</w:t>
      </w:r>
    </w:p>
    <w:p w14:paraId="22803163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920" w:dyaOrig="480" w14:anchorId="1A7A05A9">
          <v:shape id="_x0000_i1040" type="#_x0000_t75" style="width:45.75pt;height:24pt" o:ole="">
            <v:imagedata r:id="rId33" o:title=""/>
          </v:shape>
          <o:OLEObject Type="Embed" ProgID="Equation.3" ShapeID="_x0000_i1040" DrawAspect="Content" ObjectID="_1807259251" r:id="rId34"/>
        </w:object>
      </w:r>
      <w:r>
        <w:rPr>
          <w:sz w:val="28"/>
          <w:szCs w:val="28"/>
        </w:rPr>
        <w:t xml:space="preserve"> - высота подъёма воды из деаэратора в барабан парового котла;</w:t>
      </w:r>
    </w:p>
    <w:p w14:paraId="2AF36521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360" w:dyaOrig="360" w14:anchorId="5637F40B">
          <v:shape id="_x0000_i1041" type="#_x0000_t75" style="width:18pt;height:18pt" o:ole="">
            <v:imagedata r:id="rId35" o:title=""/>
          </v:shape>
          <o:OLEObject Type="Embed" ProgID="Equation.3" ShapeID="_x0000_i1041" DrawAspect="Content" ObjectID="_1807259252" r:id="rId36"/>
        </w:object>
      </w:r>
      <w:r>
        <w:rPr>
          <w:sz w:val="28"/>
          <w:szCs w:val="28"/>
        </w:rPr>
        <w:t xml:space="preserve"> - средняя плотность питательной воды;</w:t>
      </w:r>
    </w:p>
    <w:p w14:paraId="567B6560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1219" w:dyaOrig="480" w14:anchorId="3B9A270F">
          <v:shape id="_x0000_i1042" type="#_x0000_t75" style="width:60.75pt;height:24pt" o:ole="">
            <v:imagedata r:id="rId37" o:title=""/>
          </v:shape>
          <o:OLEObject Type="Embed" ProgID="Equation.3" ShapeID="_x0000_i1042" DrawAspect="Content" ObjectID="_1807259253" r:id="rId38"/>
        </w:object>
      </w:r>
      <w:r>
        <w:rPr>
          <w:sz w:val="28"/>
          <w:szCs w:val="28"/>
        </w:rPr>
        <w:t xml:space="preserve"> - суммарное гидравлическое сопротивление оборудования</w:t>
      </w:r>
    </w:p>
    <w:p w14:paraId="56ECEB2A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Для прямоточных котельных агрегатов</w:t>
      </w:r>
    </w:p>
    <w:p w14:paraId="5A069B8C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4A8A3C46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5328" w:dyaOrig="442" w14:anchorId="23D934DB">
          <v:shape id="_x0000_i1043" type="#_x0000_t75" style="width:266.25pt;height:21.75pt" o:ole="">
            <v:imagedata r:id="rId31" o:title=""/>
          </v:shape>
          <o:OLEObject Type="Embed" ProgID="Equation.3" ShapeID="_x0000_i1043" DrawAspect="Content" ObjectID="_1807259254" r:id="rId39"/>
        </w:object>
      </w:r>
    </w:p>
    <w:p w14:paraId="34373148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Для энергоблоков мощностью 150-200 МВт устанавливают один рабочий и один резервный (в запасе на складе) каждый на 100 % полного расхода воды, или два насоса по 50 % без резерва.</w:t>
      </w:r>
    </w:p>
    <w:p w14:paraId="446A678E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эне</w:t>
      </w:r>
      <w:r>
        <w:rPr>
          <w:sz w:val="28"/>
          <w:szCs w:val="28"/>
        </w:rPr>
        <w:t>ргоблоков мощностью 300 МВт устанавливают по одному рабочему питательному насосу полной подачи (100 %) с приводом от паровой турбины с противодавлением и один пускорезервный - на 30-50 % полной подачи.</w:t>
      </w:r>
    </w:p>
    <w:p w14:paraId="4113889B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энергоблоков мощностью 500, 800 и 1200 МВт устанав</w:t>
      </w:r>
      <w:r>
        <w:rPr>
          <w:sz w:val="28"/>
          <w:szCs w:val="28"/>
        </w:rPr>
        <w:t>ливают с целью разгрузки выхлопных частей главных турбин питательные насосы с конденсационной приводной турбиной, по два рабочих турбонасоса, каждый на 50 % полной подачи с резервированием подвода пара к приводной турбине.</w:t>
      </w:r>
    </w:p>
    <w:p w14:paraId="256C69DE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Конденсатные насосы выбирают по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ок </w:t>
      </w:r>
    </w:p>
    <w:p w14:paraId="4B262F08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12E72764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2320" w:dyaOrig="440" w14:anchorId="5ECD7732">
          <v:shape id="_x0000_i1044" type="#_x0000_t75" style="width:116.25pt;height:21.75pt" o:ole="">
            <v:imagedata r:id="rId40" o:title=""/>
          </v:shape>
          <o:OLEObject Type="Embed" ProgID="Equation.3" ShapeID="_x0000_i1044" DrawAspect="Content" ObjectID="_1807259255" r:id="rId41"/>
        </w:object>
      </w:r>
    </w:p>
    <w:p w14:paraId="48DEE6DE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2A4BADB0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740" w:dyaOrig="400" w14:anchorId="0B629781">
          <v:shape id="_x0000_i1045" type="#_x0000_t75" style="width:36.75pt;height:20.25pt" o:ole="">
            <v:imagedata r:id="rId42" o:title=""/>
          </v:shape>
          <o:OLEObject Type="Embed" ProgID="Equation.3" ShapeID="_x0000_i1045" DrawAspect="Content" ObjectID="_1807259256" r:id="rId43"/>
        </w:object>
      </w:r>
      <w:r>
        <w:rPr>
          <w:sz w:val="28"/>
          <w:szCs w:val="28"/>
        </w:rPr>
        <w:t xml:space="preserve"> - при работающих регулируемых отборах и номинальной нагрузке.</w:t>
      </w:r>
    </w:p>
    <w:p w14:paraId="34530704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7040E244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5440" w:dyaOrig="560" w14:anchorId="605AD746">
          <v:shape id="_x0000_i1046" type="#_x0000_t75" style="width:272.25pt;height:27.75pt" o:ole="">
            <v:imagedata r:id="rId44" o:title=""/>
          </v:shape>
          <o:OLEObject Type="Embed" ProgID="Equation.3" ShapeID="_x0000_i1046" DrawAspect="Content" ObjectID="_1807259257" r:id="rId45"/>
        </w:object>
      </w:r>
    </w:p>
    <w:p w14:paraId="0435454A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0AAFE1A8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Рк - давление в конденсаторе турбины;</w:t>
      </w:r>
    </w:p>
    <w:p w14:paraId="18709F3C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920" w:dyaOrig="400" w14:anchorId="1801871A">
          <v:shape id="_x0000_i1047" type="#_x0000_t75" style="width:45.75pt;height:20.25pt" o:ole="">
            <v:imagedata r:id="rId46" o:title=""/>
          </v:shape>
          <o:OLEObject Type="Embed" ProgID="Equation.3" ShapeID="_x0000_i1047" DrawAspect="Content" ObjectID="_1807259258" r:id="rId47"/>
        </w:object>
      </w:r>
      <w:r>
        <w:rPr>
          <w:sz w:val="28"/>
          <w:szCs w:val="28"/>
        </w:rPr>
        <w:t xml:space="preserve"> - высота подъёма конденсата от уровня его в конденсатосборнике конденсатора до уровня в деаэраторном баке;</w:t>
      </w:r>
    </w:p>
    <w:p w14:paraId="339972ED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Рд - давление в деаэраторе</w:t>
      </w:r>
    </w:p>
    <w:p w14:paraId="20DAB56E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360" w:dyaOrig="420" w14:anchorId="0DA8AECA">
          <v:shape id="_x0000_i1048" type="#_x0000_t75" style="width:18pt;height:21pt" o:ole="">
            <v:imagedata r:id="rId48" o:title=""/>
          </v:shape>
          <o:OLEObject Type="Embed" ProgID="Equation.3" ShapeID="_x0000_i1048" DrawAspect="Content" ObjectID="_1807259259" r:id="rId49"/>
        </w:object>
      </w:r>
      <w:r>
        <w:rPr>
          <w:sz w:val="28"/>
          <w:szCs w:val="28"/>
        </w:rPr>
        <w:t xml:space="preserve"> - средняя плотность конденсата в его тракте</w:t>
      </w:r>
    </w:p>
    <w:p w14:paraId="016F13CF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980" w:dyaOrig="560" w14:anchorId="1B4633A8">
          <v:shape id="_x0000_i1049" type="#_x0000_t75" style="width:48.75pt;height:27.75pt" o:ole="">
            <v:imagedata r:id="rId50" o:title=""/>
          </v:shape>
          <o:OLEObject Type="Embed" ProgID="Equation.3" ShapeID="_x0000_i1049" DrawAspect="Content" ObjectID="_1807259260" r:id="rId51"/>
        </w:object>
      </w:r>
      <w:r>
        <w:rPr>
          <w:sz w:val="28"/>
          <w:szCs w:val="28"/>
        </w:rPr>
        <w:t>- суммарное местное сопротивление тракта конденсата</w:t>
      </w:r>
    </w:p>
    <w:p w14:paraId="1D578D52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Обычно выбирают один насос на 10</w:t>
      </w:r>
      <w:r>
        <w:rPr>
          <w:sz w:val="28"/>
          <w:szCs w:val="28"/>
        </w:rPr>
        <w:t>0 % или два рабочих по 50 % общей подачи и соответственно один резервный (на 100 % или 50 % полной подачи). Общую подачу определяют по наибольшему пропуску пара в конденсатор с учётом регенеративных отборов.</w:t>
      </w:r>
    </w:p>
    <w:p w14:paraId="42D54135" w14:textId="77777777" w:rsidR="00000000" w:rsidRDefault="00F47C5B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При прямоточных паровых котлах применяют химичес</w:t>
      </w:r>
      <w:r>
        <w:rPr>
          <w:sz w:val="28"/>
          <w:szCs w:val="28"/>
        </w:rPr>
        <w:t>кое обессоливание конденсата турбины, поэтому устанавливают конденсатные насосы двух ступеней: после конденсатора турбины с небольшим напором и после обессоливающей установки с напором, необходимым для подачи конденсата через поверхностные регенеративные п</w:t>
      </w:r>
      <w:r>
        <w:rPr>
          <w:sz w:val="28"/>
          <w:szCs w:val="28"/>
        </w:rPr>
        <w:t>одогреватели низкого давления в деаэратор питательной воды.</w:t>
      </w:r>
    </w:p>
    <w:p w14:paraId="0A335900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6EE9FC69" w14:textId="4B107A49" w:rsidR="00000000" w:rsidRDefault="00681D2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F387750" wp14:editId="6A795075">
            <wp:extent cx="3562350" cy="30765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536D1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E94AE58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Дренажные насосы выбирают по: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др(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п); Рок. Устанавливают без резерва. При выходе ДН из строя сброс дренажей идёт по каскаду на всас конденсатного насоса.</w:t>
      </w:r>
    </w:p>
    <w:p w14:paraId="78F12535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Дренажные насосы ПСВ :на каждую турбину устанавливают один или </w:t>
      </w:r>
      <w:r>
        <w:rPr>
          <w:sz w:val="28"/>
          <w:szCs w:val="28"/>
        </w:rPr>
        <w:t>два насоса, один из которых является резервным - у нижней ступени ПСВ.</w:t>
      </w:r>
    </w:p>
    <w:p w14:paraId="562D47C8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Циркуляционные насосы выбирают по </w:t>
      </w:r>
      <w:r>
        <w:rPr>
          <w:rFonts w:ascii="Microsoft Sans Serif" w:hAnsi="Microsoft Sans Serif" w:cs="Microsoft Sans Serif"/>
          <w:sz w:val="17"/>
          <w:szCs w:val="17"/>
        </w:rPr>
        <w:object w:dxaOrig="740" w:dyaOrig="420" w14:anchorId="64463C9C">
          <v:shape id="_x0000_i1051" type="#_x0000_t75" style="width:36.75pt;height:21pt" o:ole="">
            <v:imagedata r:id="rId53" o:title=""/>
          </v:shape>
          <o:OLEObject Type="Embed" ProgID="Equation.3" ShapeID="_x0000_i1051" DrawAspect="Content" ObjectID="_1807259261" r:id="rId54"/>
        </w:object>
      </w:r>
      <w:r>
        <w:rPr>
          <w:sz w:val="28"/>
          <w:szCs w:val="28"/>
        </w:rPr>
        <w:t xml:space="preserve">. Устанавливают по одному или по два на турбину. В машинном зале насосы устанавливают </w:t>
      </w:r>
      <w:r>
        <w:rPr>
          <w:sz w:val="28"/>
          <w:szCs w:val="28"/>
        </w:rPr>
        <w:t>индивидуально, обычно по два насоса на турбину, для возможности отключения одного из них при уменьшении расхода воды (в зимнее время). В центральных (береговых) насосных целесообразно укрупнять насосы охлаждающей воды, принимая по одному на турбину.</w:t>
      </w:r>
    </w:p>
    <w:p w14:paraId="2227A24B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ЦН</w:t>
      </w:r>
      <w:r>
        <w:rPr>
          <w:sz w:val="28"/>
          <w:szCs w:val="28"/>
        </w:rPr>
        <w:t xml:space="preserve"> не устанавливают резерв. их производительность выбирают по летнему режиму, когда температура охлаждающей воды высокая и требует наибольшее количество. В зимнее время, при низкой температуре воды, расход её существенно снижается (примерно вдвое), и часть н</w:t>
      </w:r>
      <w:r>
        <w:rPr>
          <w:sz w:val="28"/>
          <w:szCs w:val="28"/>
        </w:rPr>
        <w:t>асосов фактически является резервом.</w:t>
      </w:r>
    </w:p>
    <w:p w14:paraId="6589DA88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Насосы для питания водой вспомогательных теплообменников (испарители, паропреобразователи, сетевые подогреватели) выбирают преимущественно централизованно на всю электростанцию или часть её секций в возможно наименьшем </w:t>
      </w:r>
      <w:r>
        <w:rPr>
          <w:sz w:val="28"/>
          <w:szCs w:val="28"/>
        </w:rPr>
        <w:t>числе (один - два рабочих насоса), с одним резервным, имеющим подачу рабочего насоса. При закрытой схеме устанавливают два насоса, при открытой - три насоса, включая один резервный в обоих случаях.</w:t>
      </w:r>
    </w:p>
    <w:p w14:paraId="74917197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0ABF9410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Выбор баков</w:t>
      </w:r>
    </w:p>
    <w:p w14:paraId="729FD3FF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7894C197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1)Баки запаса питательной воды или аккуму</w:t>
      </w:r>
      <w:r>
        <w:rPr>
          <w:sz w:val="28"/>
          <w:szCs w:val="28"/>
        </w:rPr>
        <w:t>ляторы деаэраторов, выбираются на ёмкость баков.</w:t>
      </w:r>
    </w:p>
    <w:p w14:paraId="7DD3A3AE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блочных КЭС баки должны обеспечивать 5 минут работы при номинальной нагрузке блока. На неблочных ТЭЦ - на 15 минут работы при номинальной нагрузке парового котла.</w:t>
      </w:r>
    </w:p>
    <w:p w14:paraId="3B3B44B8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)Баки запаса обессоленной воды.</w:t>
      </w:r>
    </w:p>
    <w:p w14:paraId="6BC82015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Располага</w:t>
      </w:r>
      <w:r>
        <w:rPr>
          <w:sz w:val="28"/>
          <w:szCs w:val="28"/>
        </w:rPr>
        <w:t xml:space="preserve">ются вне главного здания. На блочных КЭС объём баков рассчитан на 40 минут работы при </w:t>
      </w:r>
      <w:r>
        <w:rPr>
          <w:rFonts w:ascii="Microsoft Sans Serif" w:hAnsi="Microsoft Sans Serif" w:cs="Microsoft Sans Serif"/>
          <w:sz w:val="17"/>
          <w:szCs w:val="17"/>
        </w:rPr>
        <w:object w:dxaOrig="859" w:dyaOrig="480" w14:anchorId="759012F2">
          <v:shape id="_x0000_i1052" type="#_x0000_t75" style="width:42.75pt;height:24pt" o:ole="">
            <v:imagedata r:id="rId55" o:title=""/>
          </v:shape>
          <o:OLEObject Type="Embed" ProgID="Equation.3" ShapeID="_x0000_i1052" DrawAspect="Content" ObjectID="_1807259262" r:id="rId56"/>
        </w:object>
      </w:r>
      <w:r>
        <w:rPr>
          <w:sz w:val="28"/>
          <w:szCs w:val="28"/>
        </w:rPr>
        <w:t>(не менее 6 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).</w:t>
      </w:r>
    </w:p>
    <w:p w14:paraId="7783AC47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неблочных ТЭЦ - на 60 минут работы при </w:t>
      </w:r>
      <w:r>
        <w:rPr>
          <w:rFonts w:ascii="Microsoft Sans Serif" w:hAnsi="Microsoft Sans Serif" w:cs="Microsoft Sans Serif"/>
          <w:sz w:val="17"/>
          <w:szCs w:val="17"/>
        </w:rPr>
        <w:object w:dxaOrig="859" w:dyaOrig="499" w14:anchorId="3333CBCB">
          <v:shape id="_x0000_i1053" type="#_x0000_t75" style="width:42.75pt;height:24.75pt" o:ole="">
            <v:imagedata r:id="rId57" o:title=""/>
          </v:shape>
          <o:OLEObject Type="Embed" ProgID="Equation.3" ShapeID="_x0000_i1053" DrawAspect="Content" ObjectID="_1807259263" r:id="rId58"/>
        </w:object>
      </w:r>
      <w:r>
        <w:rPr>
          <w:sz w:val="28"/>
          <w:szCs w:val="28"/>
        </w:rPr>
        <w:t xml:space="preserve"> (не менее 3 тыс.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).</w:t>
      </w:r>
    </w:p>
    <w:p w14:paraId="11751A4E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баков должно быть не менее двух.</w:t>
      </w:r>
    </w:p>
    <w:p w14:paraId="547ED536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Назначение: хранение обессоленной воды, сливаемой и з котлов тепловой схемы при ремонтах.</w:t>
      </w:r>
    </w:p>
    <w:p w14:paraId="20C65F45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)Дренажные баки </w:t>
      </w:r>
    </w:p>
    <w:p w14:paraId="7541AE0F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Объём баков должен быть 15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На блочных станциях устан</w:t>
      </w:r>
      <w:r>
        <w:rPr>
          <w:sz w:val="28"/>
          <w:szCs w:val="28"/>
        </w:rPr>
        <w:t>авливают по одному баку на каждый блок. На неблочных станциях - один бак на две - три турбины.</w:t>
      </w:r>
    </w:p>
    <w:p w14:paraId="73BF670A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Назначение: дренажные баки используют для сбора чистых дренажей из разных источников тепловой схемы.</w:t>
      </w:r>
    </w:p>
    <w:p w14:paraId="10E0D290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)Баки сбора загрязнённых вод.</w:t>
      </w:r>
    </w:p>
    <w:p w14:paraId="1BFA8F65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 загрязнённым водам относят: </w:t>
      </w:r>
      <w:r>
        <w:rPr>
          <w:sz w:val="28"/>
          <w:szCs w:val="28"/>
        </w:rPr>
        <w:t>воды обмывки котельных агрегатов, с мазутонасосных, с ХВО.</w:t>
      </w:r>
    </w:p>
    <w:p w14:paraId="765BC831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Объём баков должен быть не менее 10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14:paraId="3A1BE9FA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Устанавливают по одному баку загрязнённых вод в турбинном и котельном цехах, мазутохозяйстве и цехе водоподготовки.</w:t>
      </w:r>
    </w:p>
    <w:p w14:paraId="5BEBDE21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02B58EAE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Выбор вспомогательного оборудования </w:t>
      </w:r>
      <w:r>
        <w:rPr>
          <w:b/>
          <w:bCs/>
          <w:sz w:val="28"/>
          <w:szCs w:val="28"/>
        </w:rPr>
        <w:t>котельной установки</w:t>
      </w:r>
    </w:p>
    <w:p w14:paraId="0A2F51E7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465B03C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вспомогательному оборудованию котельной установки относят: пылесистемы и тягодутьевые машины (ТДМ).</w:t>
      </w:r>
    </w:p>
    <w:p w14:paraId="5C26C9CC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Выбор пылесистем - определяется реакционностью и влажностью </w:t>
      </w:r>
      <w:r>
        <w:rPr>
          <w:sz w:val="28"/>
          <w:szCs w:val="28"/>
        </w:rPr>
        <w:lastRenderedPageBreak/>
        <w:t>топлива, типом применяемой мельницы (связанным с реакционностью топлива</w:t>
      </w:r>
      <w:r>
        <w:rPr>
          <w:sz w:val="28"/>
          <w:szCs w:val="28"/>
        </w:rPr>
        <w:t xml:space="preserve">). Для низкореакционных топлив (антрацитовый штыб, тощие угли), которые имеют проблему воспламенения факела, обычно применяют замкнутые или разомкнутые пылесистемы с ШБМ (шаровые барабанные мельницы) и МВ (мельницы-вентиляторы). Это связано с тем, что для </w:t>
      </w:r>
      <w:r>
        <w:rPr>
          <w:sz w:val="28"/>
          <w:szCs w:val="28"/>
        </w:rPr>
        <w:t>низкореакционных топлив требуется очень тонкий размол и глубокая сушка.</w:t>
      </w:r>
    </w:p>
    <w:p w14:paraId="57188A20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твёрдых топлив так же применяют ШБМ.</w:t>
      </w:r>
    </w:p>
    <w:p w14:paraId="6377C07E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высокореакционных топлив (бурый уголь, торф, сланец) применяют пылесистемы прямого вдувания с быстроходными мельницами, типа молотковых, ме</w:t>
      </w:r>
      <w:r>
        <w:rPr>
          <w:sz w:val="28"/>
          <w:szCs w:val="28"/>
        </w:rPr>
        <w:t>льниц-вентиляторов. Для высокореакционных топлив допустимо некоторое огрубление помола.</w:t>
      </w:r>
    </w:p>
    <w:p w14:paraId="04209DEF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580" w:dyaOrig="580" w14:anchorId="651E0A94">
          <v:shape id="_x0000_i1054" type="#_x0000_t75" style="width:29.25pt;height:29.25pt" o:ole="">
            <v:imagedata r:id="rId59" o:title=""/>
          </v:shape>
          <o:OLEObject Type="Embed" ProgID="Equation.3" ShapeID="_x0000_i1054" DrawAspect="Content" ObjectID="_1807259264" r:id="rId60"/>
        </w:object>
      </w:r>
      <w:r>
        <w:rPr>
          <w:sz w:val="28"/>
          <w:szCs w:val="28"/>
        </w:rPr>
        <w:t>=50-60 %</w:t>
      </w:r>
    </w:p>
    <w:p w14:paraId="72578C79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620" w:dyaOrig="499" w14:anchorId="4C88B5D1">
          <v:shape id="_x0000_i1055" type="#_x0000_t75" style="width:30.75pt;height:24.75pt" o:ole="">
            <v:imagedata r:id="rId61" o:title=""/>
          </v:shape>
          <o:OLEObject Type="Embed" ProgID="Equation.3" ShapeID="_x0000_i1055" DrawAspect="Content" ObjectID="_1807259265" r:id="rId62"/>
        </w:object>
      </w:r>
      <w:r>
        <w:rPr>
          <w:sz w:val="28"/>
          <w:szCs w:val="28"/>
        </w:rPr>
        <w:t>=6-12 %</w:t>
      </w:r>
    </w:p>
    <w:p w14:paraId="23B4F612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Пылесистемы со сред</w:t>
      </w:r>
      <w:r>
        <w:rPr>
          <w:sz w:val="28"/>
          <w:szCs w:val="28"/>
        </w:rPr>
        <w:t>неходными валковыми мельницами применяют для мягких углей, чтобы коэффициент размолоспособности был больше 2 (Кл.о.&gt;2).</w:t>
      </w:r>
    </w:p>
    <w:p w14:paraId="7050CA9B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667993BE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Выбор оборудования систем пылеприготовления</w:t>
      </w:r>
    </w:p>
    <w:p w14:paraId="6125CE8A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2718144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антрацитового штыба, тощих углей применима схема с промбункером, ШБМ и МВ.</w:t>
      </w:r>
    </w:p>
    <w:p w14:paraId="5778CE37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ШБ</w:t>
      </w:r>
      <w:r>
        <w:rPr>
          <w:sz w:val="28"/>
          <w:szCs w:val="28"/>
        </w:rPr>
        <w:t>М</w:t>
      </w:r>
    </w:p>
    <w:p w14:paraId="508BFCE2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размольная производительность мельницы:</w:t>
      </w:r>
    </w:p>
    <w:p w14:paraId="25713FF9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4AFED15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3700" w:dyaOrig="680" w14:anchorId="33B3FBE7">
          <v:shape id="_x0000_i1056" type="#_x0000_t75" style="width:185.25pt;height:33.75pt" o:ole="">
            <v:imagedata r:id="rId63" o:title=""/>
          </v:shape>
          <o:OLEObject Type="Embed" ProgID="Equation.3" ShapeID="_x0000_i1056" DrawAspect="Content" ObjectID="_1807259266" r:id="rId64"/>
        </w:object>
      </w:r>
    </w:p>
    <w:p w14:paraId="6C26E5E4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2B4E3C90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rFonts w:ascii="Microsoft Sans Serif" w:hAnsi="Microsoft Sans Serif" w:cs="Microsoft Sans Serif"/>
          <w:sz w:val="17"/>
          <w:szCs w:val="17"/>
        </w:rPr>
        <w:object w:dxaOrig="840" w:dyaOrig="680" w14:anchorId="1AD392C1">
          <v:shape id="_x0000_i1057" type="#_x0000_t75" style="width:42pt;height:33.75pt" o:ole="">
            <v:imagedata r:id="rId65" o:title=""/>
          </v:shape>
          <o:OLEObject Type="Embed" ProgID="Equation.3" ShapeID="_x0000_i1057" DrawAspect="Content" ObjectID="_1807259267" r:id="rId66"/>
        </w:object>
      </w:r>
      <w:r>
        <w:rPr>
          <w:sz w:val="28"/>
          <w:szCs w:val="28"/>
        </w:rPr>
        <w:t>&lt; 420 т/час применяется одна ШБМ;</w:t>
      </w:r>
    </w:p>
    <w:p w14:paraId="737626F8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rFonts w:ascii="Microsoft Sans Serif" w:hAnsi="Microsoft Sans Serif" w:cs="Microsoft Sans Serif"/>
          <w:sz w:val="17"/>
          <w:szCs w:val="17"/>
        </w:rPr>
        <w:object w:dxaOrig="840" w:dyaOrig="680" w14:anchorId="41B1B4AE">
          <v:shape id="_x0000_i1058" type="#_x0000_t75" style="width:42pt;height:33.75pt" o:ole="">
            <v:imagedata r:id="rId67" o:title=""/>
          </v:shape>
          <o:OLEObject Type="Embed" ProgID="Equation.3" ShapeID="_x0000_i1058" DrawAspect="Content" ObjectID="_1807259268" r:id="rId68"/>
        </w:object>
      </w:r>
      <w:r>
        <w:rPr>
          <w:sz w:val="28"/>
          <w:szCs w:val="28"/>
        </w:rPr>
        <w:t>&gt; 420 т/час применяется две-три ШБМ;</w:t>
      </w:r>
    </w:p>
    <w:p w14:paraId="16C1DCF3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схемах с промбункером кроме ШБМ, могут применяться так же быстроходные мельницы, коичество которых определяется производительностью котельного агрегата.</w:t>
      </w:r>
    </w:p>
    <w:p w14:paraId="26461CA3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rFonts w:ascii="Microsoft Sans Serif" w:hAnsi="Microsoft Sans Serif" w:cs="Microsoft Sans Serif"/>
          <w:sz w:val="17"/>
          <w:szCs w:val="17"/>
        </w:rPr>
        <w:object w:dxaOrig="840" w:dyaOrig="680" w14:anchorId="596D4463">
          <v:shape id="_x0000_i1059" type="#_x0000_t75" style="width:42pt;height:33.75pt" o:ole="">
            <v:imagedata r:id="rId65" o:title=""/>
          </v:shape>
          <o:OLEObject Type="Embed" ProgID="Equation.3" ShapeID="_x0000_i1059" DrawAspect="Content" ObjectID="_1807259269" r:id="rId69"/>
        </w:object>
      </w:r>
      <w:r>
        <w:rPr>
          <w:sz w:val="28"/>
          <w:szCs w:val="28"/>
        </w:rPr>
        <w:t>&lt; 400 т/час применяется не менее двух мельниц;</w:t>
      </w:r>
    </w:p>
    <w:p w14:paraId="6AC56231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rFonts w:ascii="Microsoft Sans Serif" w:hAnsi="Microsoft Sans Serif" w:cs="Microsoft Sans Serif"/>
          <w:sz w:val="17"/>
          <w:szCs w:val="17"/>
        </w:rPr>
        <w:object w:dxaOrig="840" w:dyaOrig="680" w14:anchorId="4FE56740">
          <v:shape id="_x0000_i1060" type="#_x0000_t75" style="width:42pt;height:33.75pt" o:ole="">
            <v:imagedata r:id="rId67" o:title=""/>
          </v:shape>
          <o:OLEObject Type="Embed" ProgID="Equation.3" ShapeID="_x0000_i1060" DrawAspect="Content" ObjectID="_1807259270" r:id="rId70"/>
        </w:object>
      </w:r>
      <w:r>
        <w:rPr>
          <w:sz w:val="28"/>
          <w:szCs w:val="28"/>
        </w:rPr>
        <w:t>&gt; 400 т/час применяется не менее трёх мельниц</w:t>
      </w:r>
    </w:p>
    <w:p w14:paraId="3154EEDB" w14:textId="77777777" w:rsidR="00000000" w:rsidRDefault="00F47C5B">
      <w:pPr>
        <w:ind w:firstLine="709"/>
        <w:rPr>
          <w:sz w:val="28"/>
          <w:szCs w:val="28"/>
        </w:rPr>
      </w:pPr>
    </w:p>
    <w:p w14:paraId="225C278B" w14:textId="77777777" w:rsidR="00000000" w:rsidRDefault="00F47C5B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9. Запас по расчётному расходу топлива</w:t>
      </w:r>
    </w:p>
    <w:p w14:paraId="4465CD1F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107AFEFF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двух мельницах запас составляет 35 %, при трёх - 20 %, при четырёх - 10 % от суммарной потребности на один котёл.</w:t>
      </w:r>
    </w:p>
    <w:p w14:paraId="59954338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Ёмкость бункеров пыли в схемах с промбункером рассчитана на 2-2,5 часа работы котла при </w:t>
      </w:r>
      <w:r>
        <w:rPr>
          <w:rFonts w:ascii="Microsoft Sans Serif" w:hAnsi="Microsoft Sans Serif" w:cs="Microsoft Sans Serif"/>
          <w:sz w:val="17"/>
          <w:szCs w:val="17"/>
        </w:rPr>
        <w:object w:dxaOrig="840" w:dyaOrig="680" w14:anchorId="2EB6E18F">
          <v:shape id="_x0000_i1061" type="#_x0000_t75" style="width:42pt;height:33.75pt" o:ole="">
            <v:imagedata r:id="rId65" o:title=""/>
          </v:shape>
          <o:OLEObject Type="Embed" ProgID="Equation.3" ShapeID="_x0000_i1061" DrawAspect="Content" ObjectID="_1807259271" r:id="rId71"/>
        </w:object>
      </w:r>
      <w:r>
        <w:rPr>
          <w:sz w:val="28"/>
          <w:szCs w:val="28"/>
        </w:rPr>
        <w:t>. Производительность питателей пыли выбираеют с запасом 23-30 % В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.</w:t>
      </w:r>
    </w:p>
    <w:p w14:paraId="4E40993A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Пылесистемы с прямым вдуванием</w:t>
      </w:r>
    </w:p>
    <w:p w14:paraId="1F4336C4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rFonts w:ascii="Microsoft Sans Serif" w:hAnsi="Microsoft Sans Serif" w:cs="Microsoft Sans Serif"/>
          <w:sz w:val="17"/>
          <w:szCs w:val="17"/>
        </w:rPr>
        <w:object w:dxaOrig="840" w:dyaOrig="680" w14:anchorId="38F80696">
          <v:shape id="_x0000_i1062" type="#_x0000_t75" style="width:42pt;height:33.75pt" o:ole="">
            <v:imagedata r:id="rId65" o:title=""/>
          </v:shape>
          <o:OLEObject Type="Embed" ProgID="Equation.3" ShapeID="_x0000_i1062" DrawAspect="Content" ObjectID="_1807259272" r:id="rId72"/>
        </w:object>
      </w:r>
      <w:r>
        <w:rPr>
          <w:sz w:val="28"/>
          <w:szCs w:val="28"/>
        </w:rPr>
        <w:t>&lt; 400 т/час применяется не менее двух мельниц;</w:t>
      </w:r>
    </w:p>
    <w:p w14:paraId="7098B7DF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rFonts w:ascii="Microsoft Sans Serif" w:hAnsi="Microsoft Sans Serif" w:cs="Microsoft Sans Serif"/>
          <w:sz w:val="17"/>
          <w:szCs w:val="17"/>
        </w:rPr>
        <w:object w:dxaOrig="840" w:dyaOrig="680" w14:anchorId="1E2187F4">
          <v:shape id="_x0000_i1063" type="#_x0000_t75" style="width:42pt;height:33.75pt" o:ole="">
            <v:imagedata r:id="rId67" o:title=""/>
          </v:shape>
          <o:OLEObject Type="Embed" ProgID="Equation.3" ShapeID="_x0000_i1063" DrawAspect="Content" ObjectID="_1807259273" r:id="rId73"/>
        </w:object>
      </w:r>
      <w:r>
        <w:rPr>
          <w:sz w:val="28"/>
          <w:szCs w:val="28"/>
        </w:rPr>
        <w:t>&gt; 400 т/час применяется не менее трёх мельниц</w:t>
      </w:r>
    </w:p>
    <w:p w14:paraId="2DD2C878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Запас по расчётному расходу топлива</w:t>
      </w:r>
    </w:p>
    <w:p w14:paraId="0A617126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двух мельницах запас составляет 90 %, при трёх - 45 %, при четырёх - 12 % от суммарной потребности на один котёл.</w:t>
      </w:r>
    </w:p>
    <w:p w14:paraId="573E7234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Бункера сыро</w:t>
      </w:r>
      <w:r>
        <w:rPr>
          <w:sz w:val="28"/>
          <w:szCs w:val="28"/>
        </w:rPr>
        <w:t>го угля (БСУ)</w:t>
      </w:r>
    </w:p>
    <w:p w14:paraId="11B025F6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БСУ соответствует количеству мельниц.</w:t>
      </w:r>
    </w:p>
    <w:p w14:paraId="2DAD0584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Ёмкость БСУ: при сжигании низкореакционных топлив рассчитана на 8 часов работы; для бурых углей - на 5 часов работы; для торфа - на 3 часа работы.</w:t>
      </w:r>
    </w:p>
    <w:p w14:paraId="61B966CD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Количество питателей сырого угля (ПСУ) выбирае</w:t>
      </w:r>
      <w:r>
        <w:rPr>
          <w:sz w:val="28"/>
          <w:szCs w:val="28"/>
        </w:rPr>
        <w:t>тся по количеству мельниц.</w:t>
      </w:r>
    </w:p>
    <w:p w14:paraId="20A9BC1D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2AA25EC2" w14:textId="77777777" w:rsidR="00000000" w:rsidRDefault="00F47C5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2600" w:dyaOrig="480" w14:anchorId="07695EDB">
          <v:shape id="_x0000_i1064" type="#_x0000_t75" style="width:129.75pt;height:24pt" o:ole="">
            <v:imagedata r:id="rId74" o:title=""/>
          </v:shape>
          <o:OLEObject Type="Embed" ProgID="Equation.3" ShapeID="_x0000_i1064" DrawAspect="Content" ObjectID="_1807259274" r:id="rId75"/>
        </w:object>
      </w:r>
    </w:p>
    <w:p w14:paraId="3219F120" w14:textId="77777777" w:rsidR="00000000" w:rsidRDefault="00F47C5B">
      <w:pPr>
        <w:ind w:firstLine="709"/>
        <w:rPr>
          <w:sz w:val="28"/>
          <w:szCs w:val="28"/>
          <w:lang w:val="en-US"/>
        </w:rPr>
      </w:pPr>
    </w:p>
    <w:p w14:paraId="28441864" w14:textId="77777777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Остальное оборудование систем пылеприготовления: циклоны, сепараторы, пылепроводы, мельницы-вентиляторы выбирают на основании аэродинамического расчёта пылесист</w:t>
      </w:r>
      <w:r>
        <w:rPr>
          <w:sz w:val="28"/>
          <w:szCs w:val="28"/>
        </w:rPr>
        <w:t>ем.</w:t>
      </w:r>
    </w:p>
    <w:p w14:paraId="57687DE8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EB3155B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10. Выбор ТДМ</w:t>
      </w:r>
    </w:p>
    <w:p w14:paraId="1747295D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00A9E71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ТДМ относятся: дымососы, вентиляторы, воздуходувки.</w:t>
      </w:r>
    </w:p>
    <w:p w14:paraId="526D1DBB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один котёл при уравновешенной тяге обычно устанавливают по два дымососа и два вентилятора.</w:t>
      </w:r>
    </w:p>
    <w:p w14:paraId="3F1A701E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Запас по производительности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В, Д</w:t>
      </w:r>
      <w:r>
        <w:rPr>
          <w:sz w:val="28"/>
          <w:szCs w:val="28"/>
        </w:rPr>
        <w:t>=10 %, запас по напору Н</w:t>
      </w:r>
      <w:r>
        <w:rPr>
          <w:sz w:val="28"/>
          <w:szCs w:val="28"/>
          <w:vertAlign w:val="subscript"/>
        </w:rPr>
        <w:t>В,Д</w:t>
      </w:r>
      <w:r>
        <w:rPr>
          <w:sz w:val="28"/>
          <w:szCs w:val="28"/>
        </w:rPr>
        <w:t>=15 %.</w:t>
      </w:r>
    </w:p>
    <w:p w14:paraId="744BF8ED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машинам относят</w:t>
      </w:r>
      <w:r>
        <w:rPr>
          <w:sz w:val="28"/>
          <w:szCs w:val="28"/>
        </w:rPr>
        <w:t xml:space="preserve">: вентиляторы радиального типа с загнутыми назад </w:t>
      </w:r>
    </w:p>
    <w:p w14:paraId="2199879F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9F4AB6A" w14:textId="03FD1AC8" w:rsidR="00000000" w:rsidRDefault="00681D2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68A869" wp14:editId="4F40CCC9">
            <wp:extent cx="2514600" cy="24003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7C5B">
        <w:rPr>
          <w:sz w:val="28"/>
          <w:szCs w:val="28"/>
        </w:rPr>
        <w:t xml:space="preserve">лопатками и осевые машины. </w:t>
      </w:r>
    </w:p>
    <w:p w14:paraId="5A60D461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FC06308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Выбор водоподготовки</w:t>
      </w:r>
    </w:p>
    <w:p w14:paraId="22A402EC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910E97C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станций с Р&lt;90 атм применяется химическая очистка воды - удаление катионов жёсткости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а - катионирование). Дл</w:t>
      </w:r>
      <w:r>
        <w:rPr>
          <w:sz w:val="28"/>
          <w:szCs w:val="28"/>
        </w:rPr>
        <w:t>я станций с Р&lt;90 атм применяется полное обессоливание воды.</w:t>
      </w:r>
    </w:p>
    <w:p w14:paraId="68D9F40A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&lt;7 мг*экв/л - при химической очистке воды</w:t>
      </w:r>
    </w:p>
    <w:p w14:paraId="0C74141B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CL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&gt;7 мг*экв/л - при термической обработке воды в испарителях</w:t>
      </w:r>
    </w:p>
    <w:p w14:paraId="5C33F592" w14:textId="77777777" w:rsidR="00000000" w:rsidRDefault="00F47C5B">
      <w:pPr>
        <w:pStyle w:val="3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5060D0DB" w14:textId="77777777" w:rsidR="00000000" w:rsidRDefault="00F47C5B">
      <w:pPr>
        <w:pStyle w:val="3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Резерв подготовки воды</w:t>
      </w:r>
    </w:p>
    <w:p w14:paraId="2D395433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0B5FFEEC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Резерв ХВО для энергоблоков с прямото</w:t>
      </w:r>
      <w:r>
        <w:rPr>
          <w:sz w:val="28"/>
          <w:szCs w:val="28"/>
        </w:rPr>
        <w:t xml:space="preserve">чными котлами:1) мощностью 200-300 МВт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доб=50 т/час; 2) мощностью 500 МВт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доб=75 т/час.</w:t>
      </w:r>
    </w:p>
    <w:p w14:paraId="7CC367C4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 ХВО для энергоблоков с барабанными котлами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доб=25 т/час.</w:t>
      </w:r>
    </w:p>
    <w:p w14:paraId="6F70C7B5" w14:textId="77777777" w:rsidR="00000000" w:rsidRDefault="00F47C5B">
      <w:pPr>
        <w:pStyle w:val="1"/>
        <w:shd w:val="clear" w:color="000000" w:fill="auto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Развёрнутая тепловая схема ТЭЦ (РТС ТЭЦ)</w:t>
      </w:r>
    </w:p>
    <w:p w14:paraId="54AA4E2F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РТС - это такая схема, на которой указано всё оборудование (</w:t>
      </w:r>
      <w:r>
        <w:rPr>
          <w:sz w:val="28"/>
          <w:szCs w:val="28"/>
        </w:rPr>
        <w:t>основное, вспомогательное, резервное) и все трубопроводы вместе с арматурой.</w:t>
      </w:r>
    </w:p>
    <w:p w14:paraId="24863C6A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кроме основного технологического процесса представлены пусковые, резервные, аварийные схемы. РТС отражает все возможные пути движения теплоносителя и все возможные режимы</w:t>
      </w:r>
      <w:r>
        <w:rPr>
          <w:sz w:val="28"/>
          <w:szCs w:val="28"/>
        </w:rPr>
        <w:t xml:space="preserve"> работы оборудования.</w:t>
      </w:r>
    </w:p>
    <w:p w14:paraId="4CC87218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РТС: всё основное и вспомогательное оборудование, включая резервное и аварийное и связи между ними.</w:t>
      </w:r>
    </w:p>
    <w:p w14:paraId="40CDD66A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РТС</w:t>
      </w:r>
    </w:p>
    <w:p w14:paraId="33A7763A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РТС делится на три крупных части:</w:t>
      </w:r>
    </w:p>
    <w:p w14:paraId="3A6F611E" w14:textId="77777777" w:rsidR="00000000" w:rsidRDefault="00F47C5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Схема главных паропроводов: а) линия острого пара - </w:t>
      </w:r>
    </w:p>
    <w:p w14:paraId="5DED91C4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участок от паропере</w:t>
      </w:r>
      <w:r>
        <w:rPr>
          <w:sz w:val="28"/>
          <w:szCs w:val="28"/>
        </w:rPr>
        <w:t>гревателя котельного агрегата до регулирующих клапанов турбины; б) линия промежуточного перегрева пара - это участок от выхлопа цилиндра высокого давления до до регулирующих клапанов цилиндра среднего давления турбины.</w:t>
      </w:r>
    </w:p>
    <w:p w14:paraId="7DFDEC2F" w14:textId="77777777" w:rsidR="00000000" w:rsidRDefault="00F47C5B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Главные трубопроводы - линия от пи</w:t>
      </w:r>
      <w:r>
        <w:rPr>
          <w:sz w:val="28"/>
          <w:szCs w:val="28"/>
        </w:rPr>
        <w:t>тательных насосов до до питательного узла котла (линия питательной воды).</w:t>
      </w:r>
    </w:p>
    <w:p w14:paraId="115ABB11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Линия основного конденсата - участок от конденсатора до деаэратора, включая сам деаэратор.</w:t>
      </w:r>
    </w:p>
    <w:p w14:paraId="60C7358B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главных паропроводов блочных ТЭС (10.1)</w:t>
      </w:r>
    </w:p>
    <w:p w14:paraId="555E0271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Состав:</w:t>
      </w:r>
    </w:p>
    <w:p w14:paraId="129086F0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линия острого пара (обычно имеет</w:t>
      </w:r>
      <w:r>
        <w:rPr>
          <w:sz w:val="28"/>
          <w:szCs w:val="28"/>
        </w:rPr>
        <w:t>ся две нитки, на которых располагается 4 ГПЗ (главные паровые задвижки) с байпасами). ГПЗ могут находиться в двух положениях: закрытое и открытое.</w:t>
      </w:r>
    </w:p>
    <w:p w14:paraId="4D956F84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БРОУ (быстродействующее редукционное охладительное устройство) </w:t>
      </w:r>
      <w:r>
        <w:rPr>
          <w:sz w:val="28"/>
          <w:szCs w:val="28"/>
        </w:rPr>
        <w:lastRenderedPageBreak/>
        <w:t>пусковое для прогрева ХПП и ГПП (холодного и</w:t>
      </w:r>
      <w:r>
        <w:rPr>
          <w:sz w:val="28"/>
          <w:szCs w:val="28"/>
        </w:rPr>
        <w:t xml:space="preserve"> горячего промышленного перегрева пара)</w:t>
      </w:r>
    </w:p>
    <w:p w14:paraId="78E3FBFB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БРОУ аварийного сброса пара в конденсатор при аварийной посадке стопорного клапана</w:t>
      </w:r>
    </w:p>
    <w:p w14:paraId="5D46D500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схеме так же есть предохранительные клапана для аварийного сброса пара в случае отключения турбины - расположены на линии острого</w:t>
      </w:r>
      <w:r>
        <w:rPr>
          <w:sz w:val="28"/>
          <w:szCs w:val="28"/>
        </w:rPr>
        <w:t xml:space="preserve"> пара и линии, выравнивающей давление ХПП.</w:t>
      </w:r>
    </w:p>
    <w:p w14:paraId="016654EB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 ПК в схеме :</w:t>
      </w:r>
    </w:p>
    <w:p w14:paraId="4DD46EC5" w14:textId="43F0CE13" w:rsidR="00000000" w:rsidRDefault="00F47C5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Расходомеры: </w:t>
      </w:r>
      <w:r w:rsidR="00681D2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11AE77" wp14:editId="37048861">
            <wp:extent cx="228600" cy="2190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A6CA2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Стопорные клапаны СК, за ними регулирующие клапаны РК;</w:t>
      </w:r>
    </w:p>
    <w:p w14:paraId="4A166BD3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Линия промежуточного перегрева</w:t>
      </w:r>
    </w:p>
    <w:p w14:paraId="593369D9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ХПП установлено РОУ собственных нужд 5;</w:t>
      </w:r>
    </w:p>
    <w:p w14:paraId="24708EC3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БРОУ ав</w:t>
      </w:r>
      <w:r>
        <w:rPr>
          <w:sz w:val="28"/>
          <w:szCs w:val="28"/>
        </w:rPr>
        <w:t>арийные, срабатывающие при аварийном отключении турбины;</w:t>
      </w:r>
    </w:p>
    <w:p w14:paraId="0D219C05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ХПП выполняется двумя трубопроводами, а ГПП - четырьмя;</w:t>
      </w:r>
    </w:p>
    <w:p w14:paraId="5D6B22BD" w14:textId="77777777" w:rsidR="00000000" w:rsidRDefault="00F47C5B">
      <w:pPr>
        <w:pStyle w:val="2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главных паропроводов неблочных ТЭС (10.2)</w:t>
      </w:r>
    </w:p>
    <w:p w14:paraId="72208BF7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Состав:</w:t>
      </w:r>
    </w:p>
    <w:p w14:paraId="65A684BB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-котёл;</w:t>
      </w:r>
    </w:p>
    <w:p w14:paraId="403ED978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-пусковой коллектор;</w:t>
      </w:r>
    </w:p>
    <w:p w14:paraId="46299AC6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-РОУ сброса пара в конденсатор;</w:t>
      </w:r>
    </w:p>
    <w:p w14:paraId="45237106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-переключательный (главны</w:t>
      </w:r>
      <w:r>
        <w:rPr>
          <w:sz w:val="28"/>
          <w:szCs w:val="28"/>
        </w:rPr>
        <w:t>й) паропровод;</w:t>
      </w:r>
    </w:p>
    <w:p w14:paraId="7BB3DDE0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-РОУ собственных нужд;</w:t>
      </w:r>
    </w:p>
    <w:p w14:paraId="3E53CD64" w14:textId="77777777" w:rsidR="00000000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-ГПЗ с байпасами;</w:t>
      </w:r>
    </w:p>
    <w:p w14:paraId="2FFB4846" w14:textId="77777777" w:rsidR="00F47C5B" w:rsidRDefault="00F47C5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-стопорный клапан;</w:t>
      </w:r>
    </w:p>
    <w:sectPr w:rsidR="00F47C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2A"/>
    <w:rsid w:val="00681D2A"/>
    <w:rsid w:val="00F4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D683A0"/>
  <w14:defaultImageDpi w14:val="0"/>
  <w15:docId w15:val="{3FABA639-16EA-432D-9FC2-DA07173C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3.wmf"/><Relationship Id="rId79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5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8.bin"/><Relationship Id="rId78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image" Target="media/image34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2" Type="http://schemas.openxmlformats.org/officeDocument/2006/relationships/settings" Target="setting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2279</Words>
  <Characters>12995</Characters>
  <Application>Microsoft Office Word</Application>
  <DocSecurity>0</DocSecurity>
  <Lines>108</Lines>
  <Paragraphs>30</Paragraphs>
  <ScaleCrop>false</ScaleCrop>
  <Company/>
  <LinksUpToDate>false</LinksUpToDate>
  <CharactersWithSpaces>15244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2025-04-27T08:39:00Z</dcterms:created>
  <dcterms:modified xsi:type="dcterms:W3CDTF">2025-04-27T08:39:00Z</dcterms:modified>
</cp:coreProperties>
</file>