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E4422" w14:textId="77777777" w:rsidR="00000000" w:rsidRDefault="00BC48E4">
      <w:pPr>
        <w:pStyle w:val="a4"/>
        <w:jc w:val="both"/>
      </w:pPr>
      <w:r>
        <w:t>Сплавы магнитных переходных металлов</w:t>
      </w:r>
    </w:p>
    <w:p w14:paraId="4AA8BC85" w14:textId="77777777" w:rsidR="00000000" w:rsidRDefault="00BC48E4">
      <w:pPr>
        <w:jc w:val="both"/>
      </w:pPr>
      <w:r>
        <w:t>В последние годы интенсивно изучали электронную структуру и разнообразие физических свойств сплавов переходных металлов. Для изучения магнитных свойств сплавов переходных металлов очень полезным оказался метод рассеяния</w:t>
      </w:r>
      <w:r>
        <w:t xml:space="preserve"> медленных нейтронов. Исследование упругого и неупругого рассеяния медленных нейтронов в сплавах позволяет получить уникальную информацию о магнитных моментах и форм-факторах, а также об изменении спин-волновой жесткости.</w:t>
      </w:r>
    </w:p>
    <w:p w14:paraId="465510EF" w14:textId="77777777" w:rsidR="00000000" w:rsidRDefault="00BC48E4">
      <w:pPr>
        <w:jc w:val="both"/>
      </w:pPr>
      <w:r>
        <w:t>Небходимо отметить, что нейтронные</w:t>
      </w:r>
      <w:r>
        <w:t xml:space="preserve"> исследования распределения магнитного момента в магнитных сплавах и изменение спин-волновой жесткости во многом стимулировали развитие современных методов расчета электронной структуры неупорядоченных сплавов, которые чрезвычайно полезны для решения многи</w:t>
      </w:r>
      <w:r>
        <w:t>х задач физики твердого тела. К ним относят широко теперь известный метод когерентного потенциала [160].</w:t>
      </w:r>
    </w:p>
    <w:p w14:paraId="487779C4" w14:textId="77777777" w:rsidR="00000000" w:rsidRDefault="00BC48E4">
      <w:pPr>
        <w:jc w:val="both"/>
      </w:pPr>
      <w:r>
        <w:t>Модель Хаббарда окозалась очень полезной для описания многих электронных и магнитных свойств сплавов переходных металлов и успешно применяется в большо</w:t>
      </w:r>
      <w:r>
        <w:t xml:space="preserve">м количестве работ. При описании неупорядоченных сплавов с помощью модели Хаббарда вводятся случайные параметры, поэтому говорят о модели Хаббарда со случайными параметрами. </w:t>
      </w:r>
    </w:p>
    <w:p w14:paraId="2A871EFC" w14:textId="77777777" w:rsidR="00000000" w:rsidRDefault="00BC48E4">
      <w:pPr>
        <w:jc w:val="both"/>
      </w:pPr>
      <w:r>
        <w:t xml:space="preserve">Перейдем к ее описанию. Предполагается, что взаимодействие электронов в бинарном </w:t>
      </w:r>
      <w:r>
        <w:t>неупорядоченном сплаве из двух магнитных компонент описывается следующим модельным гамильтонианом:</w:t>
      </w:r>
    </w:p>
    <w:p w14:paraId="1CBC67AA" w14:textId="77777777" w:rsidR="00000000" w:rsidRDefault="00BC48E4">
      <w:pPr>
        <w:keepNext/>
        <w:jc w:val="center"/>
      </w:pPr>
      <w:r>
        <w:rPr>
          <w:position w:val="-30"/>
        </w:rPr>
        <w:object w:dxaOrig="3960" w:dyaOrig="560" w14:anchorId="1832B9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pt;height:27.75pt" o:ole="">
            <v:imagedata r:id="rId4" o:title=""/>
          </v:shape>
          <o:OLEObject Type="Embed" ProgID="Equation.3" ShapeID="_x0000_i1025" DrawAspect="Content" ObjectID="_1821512211" r:id="rId5"/>
        </w:object>
      </w:r>
      <w:r>
        <w:tab/>
        <w:t>(69)</w:t>
      </w:r>
    </w:p>
    <w:p w14:paraId="02E1AE7E" w14:textId="77777777" w:rsidR="00000000" w:rsidRDefault="00BC48E4">
      <w:pPr>
        <w:jc w:val="both"/>
      </w:pPr>
      <w:r>
        <w:t xml:space="preserve">Здесь, как и в (11), </w:t>
      </w:r>
      <w:r>
        <w:rPr>
          <w:position w:val="-12"/>
        </w:rPr>
        <w:object w:dxaOrig="340" w:dyaOrig="360" w14:anchorId="6D0F4125">
          <v:shape id="_x0000_i1026" type="#_x0000_t75" style="width:17.25pt;height:18pt" o:ole="">
            <v:imagedata r:id="rId6" o:title=""/>
          </v:shape>
          <o:OLEObject Type="Embed" ProgID="Equation.3" ShapeID="_x0000_i1026" DrawAspect="Content" ObjectID="_1821512212" r:id="rId7"/>
        </w:object>
      </w:r>
      <w:r>
        <w:t xml:space="preserve">, </w:t>
      </w:r>
      <w:r>
        <w:rPr>
          <w:position w:val="-12"/>
        </w:rPr>
        <w:object w:dxaOrig="340" w:dyaOrig="380" w14:anchorId="7D430772">
          <v:shape id="_x0000_i1027" type="#_x0000_t75" style="width:17.25pt;height:18.75pt" o:ole="">
            <v:imagedata r:id="rId8" o:title=""/>
          </v:shape>
          <o:OLEObject Type="Embed" ProgID="Equation.3" ShapeID="_x0000_i1027" DrawAspect="Content" ObjectID="_1821512213" r:id="rId9"/>
        </w:object>
      </w:r>
      <w:r>
        <w:t xml:space="preserve"> - операторы уничтожения и рождения электронов Ванье в узле</w:t>
      </w:r>
      <w:r>
        <w:t xml:space="preserve"> </w:t>
      </w:r>
      <w:r>
        <w:rPr>
          <w:lang w:val="en-US"/>
        </w:rPr>
        <w:t>i</w:t>
      </w:r>
      <w:r>
        <w:t xml:space="preserve"> со спином </w:t>
      </w:r>
      <w:r>
        <w:sym w:font="Symbol" w:char="F073"/>
      </w:r>
      <w:r>
        <w:t xml:space="preserve">. Считается, что интегралы перескока </w:t>
      </w:r>
      <w:r>
        <w:rPr>
          <w:position w:val="-14"/>
        </w:rPr>
        <w:object w:dxaOrig="220" w:dyaOrig="380" w14:anchorId="0F81ACE8">
          <v:shape id="_x0000_i1028" type="#_x0000_t75" style="width:11.25pt;height:18.75pt" o:ole="">
            <v:imagedata r:id="rId10" o:title=""/>
          </v:shape>
          <o:OLEObject Type="Embed" ProgID="Equation.3" ShapeID="_x0000_i1028" DrawAspect="Content" ObjectID="_1821512214" r:id="rId11"/>
        </w:object>
      </w:r>
      <w:r>
        <w:t xml:space="preserve"> одинаковы для обоих сортов атомов А и В, т.е. </w:t>
      </w:r>
      <w:r>
        <w:rPr>
          <w:position w:val="-14"/>
        </w:rPr>
        <w:object w:dxaOrig="1320" w:dyaOrig="400" w14:anchorId="7CD309EF">
          <v:shape id="_x0000_i1029" type="#_x0000_t75" style="width:66pt;height:20.25pt" o:ole="">
            <v:imagedata r:id="rId12" o:title=""/>
          </v:shape>
          <o:OLEObject Type="Embed" ProgID="Equation.3" ShapeID="_x0000_i1029" DrawAspect="Content" ObjectID="_1821512215" r:id="rId13"/>
        </w:object>
      </w:r>
      <w:r>
        <w:t xml:space="preserve">; зонная структура чистых компонент А и В в отсутствие кулоновского взаимодействия одинаковая. Величины </w:t>
      </w:r>
      <w:r>
        <w:rPr>
          <w:position w:val="-12"/>
        </w:rPr>
        <w:object w:dxaOrig="240" w:dyaOrig="360" w14:anchorId="473104DE">
          <v:shape id="_x0000_i1030" type="#_x0000_t75" style="width:12pt;height:18pt" o:ole="">
            <v:imagedata r:id="rId14" o:title=""/>
          </v:shape>
          <o:OLEObject Type="Embed" ProgID="Equation.3" ShapeID="_x0000_i1030" DrawAspect="Content" ObjectID="_1821512216" r:id="rId15"/>
        </w:object>
      </w:r>
      <w:r>
        <w:t xml:space="preserve"> и </w:t>
      </w:r>
      <w:r>
        <w:rPr>
          <w:position w:val="-12"/>
        </w:rPr>
        <w:object w:dxaOrig="279" w:dyaOrig="360" w14:anchorId="3E9499FB">
          <v:shape id="_x0000_i1031" type="#_x0000_t75" style="width:14.25pt;height:18pt" o:ole="">
            <v:imagedata r:id="rId16" o:title=""/>
          </v:shape>
          <o:OLEObject Type="Embed" ProgID="Equation.3" ShapeID="_x0000_i1031" DrawAspect="Content" ObjectID="_1821512217" r:id="rId17"/>
        </w:object>
      </w:r>
      <w:r>
        <w:t xml:space="preserve"> - одночастичный потенциал и внутриатомное кулоновское взаимодействие соответственно:</w:t>
      </w:r>
    </w:p>
    <w:p w14:paraId="26EFC110" w14:textId="77777777" w:rsidR="00000000" w:rsidRDefault="00BC48E4">
      <w:pPr>
        <w:jc w:val="center"/>
      </w:pPr>
      <w:r>
        <w:rPr>
          <w:position w:val="-32"/>
        </w:rPr>
        <w:object w:dxaOrig="1500" w:dyaOrig="760" w14:anchorId="65E40A26">
          <v:shape id="_x0000_i1032" type="#_x0000_t75" style="width:75pt;height:38.25pt" o:ole="">
            <v:imagedata r:id="rId18" o:title=""/>
          </v:shape>
          <o:OLEObject Type="Embed" ProgID="Equation.3" ShapeID="_x0000_i1032" DrawAspect="Content" ObjectID="_1821512218" r:id="rId19"/>
        </w:object>
      </w:r>
      <w:r>
        <w:tab/>
      </w:r>
      <w:r>
        <w:rPr>
          <w:position w:val="-32"/>
        </w:rPr>
        <w:object w:dxaOrig="1620" w:dyaOrig="760" w14:anchorId="78663715">
          <v:shape id="_x0000_i1033" type="#_x0000_t75" style="width:81pt;height:38.25pt" o:ole="">
            <v:imagedata r:id="rId20" o:title=""/>
          </v:shape>
          <o:OLEObject Type="Embed" ProgID="Equation.3" ShapeID="_x0000_i1033" DrawAspect="Content" ObjectID="_1821512219" r:id="rId21"/>
        </w:object>
      </w:r>
      <w:r>
        <w:tab/>
        <w:t>(70)</w:t>
      </w:r>
    </w:p>
    <w:p w14:paraId="56CE3983" w14:textId="77777777" w:rsidR="00000000" w:rsidRDefault="00BC48E4">
      <w:pPr>
        <w:jc w:val="both"/>
      </w:pPr>
      <w:r>
        <w:t xml:space="preserve">Для  неупорядоченного сплава величины </w:t>
      </w:r>
      <w:r>
        <w:rPr>
          <w:position w:val="-12"/>
        </w:rPr>
        <w:object w:dxaOrig="240" w:dyaOrig="360" w14:anchorId="045C1452">
          <v:shape id="_x0000_i1034" type="#_x0000_t75" style="width:12pt;height:18pt" o:ole="">
            <v:imagedata r:id="rId14" o:title=""/>
          </v:shape>
          <o:OLEObject Type="Embed" ProgID="Equation.3" ShapeID="_x0000_i1034" DrawAspect="Content" ObjectID="_1821512220" r:id="rId22"/>
        </w:object>
      </w:r>
      <w:r>
        <w:t xml:space="preserve"> и </w:t>
      </w:r>
      <w:r>
        <w:rPr>
          <w:position w:val="-12"/>
        </w:rPr>
        <w:object w:dxaOrig="279" w:dyaOrig="360" w14:anchorId="5B8452A6">
          <v:shape id="_x0000_i1035" type="#_x0000_t75" style="width:14.25pt;height:18pt" o:ole="">
            <v:imagedata r:id="rId16" o:title=""/>
          </v:shape>
          <o:OLEObject Type="Embed" ProgID="Equation.3" ShapeID="_x0000_i1035" DrawAspect="Content" ObjectID="_1821512221" r:id="rId23"/>
        </w:object>
      </w:r>
      <w:r>
        <w:t xml:space="preserve"> принимают случайные значения в зависимости от того, заполнен ли узел атомом А или В.</w:t>
      </w:r>
    </w:p>
    <w:p w14:paraId="408137FF" w14:textId="77777777" w:rsidR="00000000" w:rsidRDefault="00BC48E4">
      <w:pPr>
        <w:jc w:val="both"/>
      </w:pPr>
      <w:r>
        <w:t>Гамильтониан (69) исследовали многие авторы в различных предельных случаях. Если предположим, что какая-либо из компонент сплава (например, В) состоит из немаг</w:t>
      </w:r>
      <w:r>
        <w:t xml:space="preserve">нитных атомов, то можно положить параметр </w:t>
      </w:r>
      <w:r>
        <w:rPr>
          <w:position w:val="-6"/>
        </w:rPr>
        <w:object w:dxaOrig="760" w:dyaOrig="320" w14:anchorId="7E63815E">
          <v:shape id="_x0000_i1036" type="#_x0000_t75" style="width:38.25pt;height:15.75pt" o:ole="">
            <v:imagedata r:id="rId24" o:title=""/>
          </v:shape>
          <o:OLEObject Type="Embed" ProgID="Equation.3" ShapeID="_x0000_i1036" DrawAspect="Content" ObjectID="_1821512222" r:id="rId25"/>
        </w:object>
      </w:r>
      <w:r>
        <w:t xml:space="preserve">. Этот случай соответствует модели Вольфа [161, 162]. Если положим </w:t>
      </w:r>
      <w:r>
        <w:rPr>
          <w:position w:val="-12"/>
        </w:rPr>
        <w:object w:dxaOrig="820" w:dyaOrig="380" w14:anchorId="4A66F5E6">
          <v:shape id="_x0000_i1037" type="#_x0000_t75" style="width:41.25pt;height:18.75pt" o:ole="">
            <v:imagedata r:id="rId26" o:title=""/>
          </v:shape>
          <o:OLEObject Type="Embed" ProgID="Equation.3" ShapeID="_x0000_i1037" DrawAspect="Content" ObjectID="_1821512223" r:id="rId27"/>
        </w:object>
      </w:r>
      <w:r>
        <w:t xml:space="preserve"> в (69), получим модельный гамильтониан, который рядом авторов [163, 164] был использован для теорети</w:t>
      </w:r>
      <w:r>
        <w:t xml:space="preserve">ческого описания сплава </w:t>
      </w:r>
      <w:r>
        <w:rPr>
          <w:lang w:val="en-US"/>
        </w:rPr>
        <w:t>Pd</w:t>
      </w:r>
      <w:r>
        <w:t>-</w:t>
      </w:r>
      <w:r>
        <w:rPr>
          <w:lang w:val="en-US"/>
        </w:rPr>
        <w:t>Ni</w:t>
      </w:r>
      <w:r>
        <w:t xml:space="preserve">. Случай, когда </w:t>
      </w:r>
      <w:r>
        <w:rPr>
          <w:position w:val="-12"/>
        </w:rPr>
        <w:object w:dxaOrig="940" w:dyaOrig="380" w14:anchorId="6AF4510B">
          <v:shape id="_x0000_i1038" type="#_x0000_t75" style="width:47.25pt;height:18.75pt" o:ole="">
            <v:imagedata r:id="rId28" o:title=""/>
          </v:shape>
          <o:OLEObject Type="Embed" ProgID="Equation.3" ShapeID="_x0000_i1038" DrawAspect="Content" ObjectID="_1821512224" r:id="rId29"/>
        </w:object>
      </w:r>
      <w:r>
        <w:t>, рассмотрен Лютером и Фульде [165] для анализа рассеяния парамагнонов на примесях; Ямада и Шимицу [166] рассчитали спин-волновой спектр. Мория {167] детально исследовал электронную структ</w:t>
      </w:r>
      <w:r>
        <w:t>уру вблизи магнитной примеси (</w:t>
      </w:r>
      <w:r>
        <w:rPr>
          <w:position w:val="-12"/>
        </w:rPr>
        <w:object w:dxaOrig="760" w:dyaOrig="380" w14:anchorId="39D600B1">
          <v:shape id="_x0000_i1039" type="#_x0000_t75" style="width:38.25pt;height:18.75pt" o:ole="">
            <v:imagedata r:id="rId30" o:title=""/>
          </v:shape>
          <o:OLEObject Type="Embed" ProgID="Equation.3" ShapeID="_x0000_i1039" DrawAspect="Content" ObjectID="_1821512225" r:id="rId31"/>
        </w:object>
      </w:r>
      <w:r>
        <w:t>) в немагнитной матрице (</w:t>
      </w:r>
      <w:r>
        <w:rPr>
          <w:position w:val="-12"/>
        </w:rPr>
        <w:object w:dxaOrig="760" w:dyaOrig="380" w14:anchorId="61E55D24">
          <v:shape id="_x0000_i1040" type="#_x0000_t75" style="width:38.25pt;height:18.75pt" o:ole="">
            <v:imagedata r:id="rId32" o:title=""/>
          </v:shape>
          <o:OLEObject Type="Embed" ProgID="Equation.3" ShapeID="_x0000_i1040" DrawAspect="Content" ObjectID="_1821512226" r:id="rId33"/>
        </w:object>
      </w:r>
      <w:r>
        <w:t>) и рассчитал целый ряд физических характеристик примесной системы. Взаимодействие между примесями было рассмотрено в [168]. Все упомянутые работы [161-168</w:t>
      </w:r>
      <w:r>
        <w:t xml:space="preserve">] ограничены приближением сильно разбавленного сплава. </w:t>
      </w:r>
    </w:p>
    <w:p w14:paraId="384E1092" w14:textId="77777777" w:rsidR="00000000" w:rsidRDefault="00BC48E4">
      <w:pPr>
        <w:jc w:val="both"/>
      </w:pPr>
      <w:r>
        <w:t>Метод когерентного потенциала [160] позволяет рассматривать сплав с конечной концентрацией примесей. Можно выделить два направления работ, использующих метод когерентного потенциала для описания неупо</w:t>
      </w:r>
      <w:r>
        <w:t>рядоченных сплавов.</w:t>
      </w:r>
    </w:p>
    <w:p w14:paraId="25DE9033" w14:textId="77777777" w:rsidR="00000000" w:rsidRDefault="00BC48E4">
      <w:pPr>
        <w:jc w:val="both"/>
      </w:pPr>
      <w:r>
        <w:t xml:space="preserve">Начало первому направлению положила работа [169]. В ней была дана теоретическая интерпретация зависимости от концентрации средней намагниченности, атомных </w:t>
      </w:r>
      <w:r>
        <w:lastRenderedPageBreak/>
        <w:t xml:space="preserve">моментов компонент и электронной теплоемкости для сплава </w:t>
      </w:r>
      <w:r>
        <w:rPr>
          <w:lang w:val="en-US"/>
        </w:rPr>
        <w:t>Ni</w:t>
      </w:r>
      <w:r>
        <w:rPr>
          <w:vertAlign w:val="subscript"/>
          <w:lang w:val="en-US"/>
        </w:rPr>
        <w:t>c</w:t>
      </w:r>
      <w:r>
        <w:rPr>
          <w:lang w:val="en-US"/>
        </w:rPr>
        <w:t>Fe</w:t>
      </w:r>
      <w:r>
        <w:rPr>
          <w:vertAlign w:val="subscript"/>
        </w:rPr>
        <w:t>1-</w:t>
      </w:r>
      <w:r>
        <w:rPr>
          <w:vertAlign w:val="subscript"/>
          <w:lang w:val="en-US"/>
        </w:rPr>
        <w:t>c</w:t>
      </w:r>
      <w:r>
        <w:t>. К этому направ</w:t>
      </w:r>
      <w:r>
        <w:t>лению примыкают работы [170-174].</w:t>
      </w:r>
    </w:p>
    <w:p w14:paraId="664EC23A" w14:textId="77777777" w:rsidR="00000000" w:rsidRDefault="00BC48E4">
      <w:pPr>
        <w:jc w:val="both"/>
      </w:pPr>
      <w:r>
        <w:t>Подход Хасегава и Канамори (ХК) основан на использовании приближения Хартри-Фока для описания внутриатомной кулоновской корреляции. В этом случае гамильтониан (69) записывался в следующем виде [169]:</w:t>
      </w:r>
    </w:p>
    <w:p w14:paraId="767E12C5" w14:textId="77777777" w:rsidR="00000000" w:rsidRDefault="00BC48E4">
      <w:pPr>
        <w:jc w:val="center"/>
      </w:pPr>
      <w:r>
        <w:rPr>
          <w:position w:val="-30"/>
        </w:rPr>
        <w:object w:dxaOrig="3019" w:dyaOrig="560" w14:anchorId="5C83B431">
          <v:shape id="_x0000_i1041" type="#_x0000_t75" style="width:150.75pt;height:27.75pt" o:ole="">
            <v:imagedata r:id="rId34" o:title=""/>
          </v:shape>
          <o:OLEObject Type="Embed" ProgID="Equation.3" ShapeID="_x0000_i1041" DrawAspect="Content" ObjectID="_1821512227" r:id="rId35"/>
        </w:object>
      </w:r>
      <w:r>
        <w:tab/>
        <w:t>(71)</w:t>
      </w:r>
    </w:p>
    <w:p w14:paraId="5DA2F864" w14:textId="77777777" w:rsidR="00000000" w:rsidRDefault="00BC48E4">
      <w:pPr>
        <w:jc w:val="both"/>
      </w:pPr>
      <w:r>
        <w:t>где</w:t>
      </w:r>
    </w:p>
    <w:p w14:paraId="501FF2AA" w14:textId="77777777" w:rsidR="00000000" w:rsidRDefault="00BC48E4">
      <w:pPr>
        <w:jc w:val="center"/>
      </w:pPr>
      <w:r>
        <w:rPr>
          <w:position w:val="-14"/>
        </w:rPr>
        <w:object w:dxaOrig="1880" w:dyaOrig="400" w14:anchorId="43A4A154">
          <v:shape id="_x0000_i1042" type="#_x0000_t75" style="width:93.75pt;height:20.25pt" o:ole="">
            <v:imagedata r:id="rId36" o:title=""/>
          </v:shape>
          <o:OLEObject Type="Embed" ProgID="Equation.3" ShapeID="_x0000_i1042" DrawAspect="Content" ObjectID="_1821512228" r:id="rId37"/>
        </w:object>
      </w:r>
      <w:r>
        <w:tab/>
        <w:t>(71а)</w:t>
      </w:r>
    </w:p>
    <w:p w14:paraId="74AD3188" w14:textId="77777777" w:rsidR="00000000" w:rsidRDefault="00BC48E4">
      <w:pPr>
        <w:jc w:val="both"/>
      </w:pPr>
      <w:r>
        <w:t xml:space="preserve">таким образом, неупорядоченность, описываемая в рамках приближения когерентного потенциала, характеризуется двумя параметрами </w:t>
      </w:r>
      <w:r>
        <w:rPr>
          <w:position w:val="-12"/>
        </w:rPr>
        <w:object w:dxaOrig="440" w:dyaOrig="360" w14:anchorId="1DCDF214">
          <v:shape id="_x0000_i1043" type="#_x0000_t75" style="width:21.75pt;height:18pt" o:ole="">
            <v:imagedata r:id="rId38" o:title=""/>
          </v:shape>
          <o:OLEObject Type="Embed" ProgID="Equation.3" ShapeID="_x0000_i1043" DrawAspect="Content" ObjectID="_1821512229" r:id="rId39"/>
        </w:object>
      </w:r>
      <w:r>
        <w:t xml:space="preserve"> и </w:t>
      </w:r>
      <w:r>
        <w:rPr>
          <w:position w:val="-12"/>
        </w:rPr>
        <w:object w:dxaOrig="440" w:dyaOrig="360" w14:anchorId="00CCA596">
          <v:shape id="_x0000_i1044" type="#_x0000_t75" style="width:21.75pt;height:18pt" o:ole="">
            <v:imagedata r:id="rId40" o:title=""/>
          </v:shape>
          <o:OLEObject Type="Embed" ProgID="Equation.3" ShapeID="_x0000_i1044" DrawAspect="Content" ObjectID="_1821512230" r:id="rId41"/>
        </w:object>
      </w:r>
      <w:r>
        <w:t xml:space="preserve">. Средние числа заполнения </w:t>
      </w:r>
      <w:r>
        <w:rPr>
          <w:position w:val="-14"/>
        </w:rPr>
        <w:object w:dxaOrig="620" w:dyaOrig="400" w14:anchorId="45F9276F">
          <v:shape id="_x0000_i1045" type="#_x0000_t75" style="width:30.75pt;height:20.25pt" o:ole="">
            <v:imagedata r:id="rId42" o:title=""/>
          </v:shape>
          <o:OLEObject Type="Embed" ProgID="Equation.3" ShapeID="_x0000_i1045" DrawAspect="Content" ObjectID="_1821512231" r:id="rId43"/>
        </w:object>
      </w:r>
      <w:r>
        <w:t xml:space="preserve"> в (71а), которые различаются для разных компонент сплава (</w:t>
      </w:r>
      <w:r>
        <w:rPr>
          <w:position w:val="-14"/>
        </w:rPr>
        <w:object w:dxaOrig="1200" w:dyaOrig="400" w14:anchorId="026AB328">
          <v:shape id="_x0000_i1046" type="#_x0000_t75" style="width:60pt;height:20.25pt" o:ole="">
            <v:imagedata r:id="rId44" o:title=""/>
          </v:shape>
          <o:OLEObject Type="Embed" ProgID="Equation.3" ShapeID="_x0000_i1046" DrawAspect="Content" ObjectID="_1821512232" r:id="rId45"/>
        </w:object>
      </w:r>
      <w:r>
        <w:t xml:space="preserve"> или </w:t>
      </w:r>
      <w:r>
        <w:rPr>
          <w:position w:val="-12"/>
        </w:rPr>
        <w:object w:dxaOrig="400" w:dyaOrig="360" w14:anchorId="5267BEB3">
          <v:shape id="_x0000_i1047" type="#_x0000_t75" style="width:20.25pt;height:18pt" o:ole="">
            <v:imagedata r:id="rId46" o:title=""/>
          </v:shape>
          <o:OLEObject Type="Embed" ProgID="Equation.3" ShapeID="_x0000_i1047" DrawAspect="Content" ObjectID="_1821512233" r:id="rId47"/>
        </w:object>
      </w:r>
      <w:r>
        <w:t xml:space="preserve">, </w:t>
      </w:r>
      <w:r>
        <w:rPr>
          <w:lang w:val="en-US"/>
        </w:rPr>
        <w:t>i</w:t>
      </w:r>
      <w:r>
        <w:rPr>
          <w:lang w:val="en-US"/>
        </w:rPr>
        <w:sym w:font="Symbol" w:char="F0CE"/>
      </w:r>
      <w:r>
        <w:rPr>
          <w:lang w:val="en-US"/>
        </w:rPr>
        <w:t>A</w:t>
      </w:r>
      <w:r>
        <w:t>, или В), должно определяться самосогласованным образом. Последнее обстоятельство приводит к тому, что не каждая элементарная ячейк</w:t>
      </w:r>
      <w:r>
        <w:t>а является электрононейтральной и может иметь место перенос конечного заряда.</w:t>
      </w:r>
    </w:p>
    <w:p w14:paraId="33521D14" w14:textId="77777777" w:rsidR="00000000" w:rsidRDefault="00BC48E4">
      <w:pPr>
        <w:jc w:val="both"/>
      </w:pPr>
      <w:r>
        <w:t>Для одночастичного гамильтониана (71) применима стандартная схема метода когерентного потенциала, которую здесь опишем, следуя обозначениям работы [160]. В методе когерентного по</w:t>
      </w:r>
      <w:r>
        <w:t>тенциала (СРА) рассматривается одноэлектронный гамильтониан следующего вида:</w:t>
      </w:r>
    </w:p>
    <w:p w14:paraId="703246AE" w14:textId="77777777" w:rsidR="00000000" w:rsidRDefault="00BC48E4">
      <w:pPr>
        <w:jc w:val="center"/>
      </w:pPr>
      <w:r>
        <w:rPr>
          <w:position w:val="-28"/>
        </w:rPr>
        <w:object w:dxaOrig="2480" w:dyaOrig="540" w14:anchorId="710BC992">
          <v:shape id="_x0000_i1048" type="#_x0000_t75" style="width:123.75pt;height:27pt" o:ole="">
            <v:imagedata r:id="rId48" o:title=""/>
          </v:shape>
          <o:OLEObject Type="Embed" ProgID="Equation.3" ShapeID="_x0000_i1048" DrawAspect="Content" ObjectID="_1821512234" r:id="rId49"/>
        </w:object>
      </w:r>
      <w:r>
        <w:tab/>
        <w:t>(72)</w:t>
      </w:r>
    </w:p>
    <w:p w14:paraId="53CE66D0" w14:textId="77777777" w:rsidR="00000000" w:rsidRDefault="00BC48E4">
      <w:pPr>
        <w:jc w:val="both"/>
      </w:pPr>
      <w:r>
        <w:t xml:space="preserve">Здесь </w:t>
      </w:r>
      <w:r>
        <w:rPr>
          <w:lang w:val="en-US"/>
        </w:rPr>
        <w:t>W</w:t>
      </w:r>
      <w:r>
        <w:t xml:space="preserve"> – периодическая часть; </w:t>
      </w:r>
      <w:r>
        <w:rPr>
          <w:lang w:val="en-US"/>
        </w:rPr>
        <w:t>D</w:t>
      </w:r>
      <w:r>
        <w:t xml:space="preserve"> – сумма случайных вкладов, каждый из которых связан с одним узлом. Одноэлектронные свойства сплава вычисляются как ср</w:t>
      </w:r>
      <w:r>
        <w:t xml:space="preserve">едние по ансамблю по всем возможным конфигурациям атомов в решетке. Обычно рассматривают усредненную подобным образом одноэлектронную функцию Грина </w:t>
      </w:r>
      <w:r>
        <w:rPr>
          <w:lang w:val="en-US"/>
        </w:rPr>
        <w:t>G</w:t>
      </w:r>
      <w:r>
        <w:t>(</w:t>
      </w:r>
      <w:r>
        <w:rPr>
          <w:lang w:val="en-US"/>
        </w:rPr>
        <w:t>z</w:t>
      </w:r>
      <w:r>
        <w:t>):</w:t>
      </w:r>
    </w:p>
    <w:p w14:paraId="304B1F17" w14:textId="77777777" w:rsidR="00000000" w:rsidRDefault="00BC48E4">
      <w:pPr>
        <w:jc w:val="center"/>
      </w:pPr>
      <w:r>
        <w:rPr>
          <w:position w:val="-16"/>
        </w:rPr>
        <w:object w:dxaOrig="4020" w:dyaOrig="440" w14:anchorId="6C40D023">
          <v:shape id="_x0000_i1049" type="#_x0000_t75" style="width:201pt;height:21.75pt" o:ole="">
            <v:imagedata r:id="rId50" o:title=""/>
          </v:shape>
          <o:OLEObject Type="Embed" ProgID="Equation.3" ShapeID="_x0000_i1049" DrawAspect="Content" ObjectID="_1821512235" r:id="rId51"/>
        </w:object>
      </w:r>
      <w:r>
        <w:tab/>
      </w:r>
      <w:r>
        <w:tab/>
        <w:t>(73)</w:t>
      </w:r>
    </w:p>
    <w:p w14:paraId="4CF493EA" w14:textId="77777777" w:rsidR="00000000" w:rsidRDefault="00BC48E4">
      <w:pPr>
        <w:jc w:val="both"/>
      </w:pPr>
      <w:r>
        <w:t>Определим Т-матрицу для данной конфигурации сплава с помощью уравнения</w:t>
      </w:r>
    </w:p>
    <w:p w14:paraId="5DDB5AB0" w14:textId="77777777" w:rsidR="00000000" w:rsidRDefault="00BC48E4">
      <w:pPr>
        <w:jc w:val="center"/>
      </w:pPr>
      <w:r>
        <w:rPr>
          <w:position w:val="-14"/>
        </w:rPr>
        <w:object w:dxaOrig="1960" w:dyaOrig="400" w14:anchorId="0D7DB05A">
          <v:shape id="_x0000_i1050" type="#_x0000_t75" style="width:98.25pt;height:20.25pt" o:ole="">
            <v:imagedata r:id="rId52" o:title=""/>
          </v:shape>
          <o:OLEObject Type="Embed" ProgID="Equation.3" ShapeID="_x0000_i1050" DrawAspect="Content" ObjectID="_1821512236" r:id="rId53"/>
        </w:object>
      </w:r>
      <w:r>
        <w:tab/>
      </w:r>
      <w:r>
        <w:tab/>
        <w:t>(74)</w:t>
      </w:r>
    </w:p>
    <w:p w14:paraId="4332F43E" w14:textId="77777777" w:rsidR="00000000" w:rsidRDefault="00BC48E4">
      <w:pPr>
        <w:jc w:val="both"/>
      </w:pPr>
      <w:r>
        <w:t xml:space="preserve">Тогда функциональное уравнение для определения неизвестного оператора </w:t>
      </w:r>
      <w:r>
        <w:sym w:font="Symbol" w:char="F053"/>
      </w:r>
      <w:r>
        <w:t xml:space="preserve"> будет задаваться условием</w:t>
      </w:r>
    </w:p>
    <w:p w14:paraId="14D0D45B" w14:textId="77777777" w:rsidR="00000000" w:rsidRDefault="00BC48E4">
      <w:pPr>
        <w:jc w:val="center"/>
      </w:pPr>
      <w:r>
        <w:rPr>
          <w:position w:val="-14"/>
        </w:rPr>
        <w:object w:dxaOrig="1120" w:dyaOrig="400" w14:anchorId="29E313E2">
          <v:shape id="_x0000_i1051" type="#_x0000_t75" style="width:56.25pt;height:20.25pt" o:ole="">
            <v:imagedata r:id="rId54" o:title=""/>
          </v:shape>
          <o:OLEObject Type="Embed" ProgID="Equation.3" ShapeID="_x0000_i1051" DrawAspect="Content" ObjectID="_1821512237" r:id="rId55"/>
        </w:object>
      </w:r>
      <w:r>
        <w:tab/>
      </w:r>
      <w:r>
        <w:tab/>
        <w:t>(75)</w:t>
      </w:r>
    </w:p>
    <w:p w14:paraId="2A6F54C4" w14:textId="77777777" w:rsidR="00000000" w:rsidRDefault="00BC48E4">
      <w:pPr>
        <w:jc w:val="both"/>
      </w:pPr>
      <w:r>
        <w:t xml:space="preserve">Уравнение (75) является самосогласованным определением оператора </w:t>
      </w:r>
      <w:r>
        <w:sym w:font="Symbol" w:char="F053"/>
      </w:r>
      <w:r>
        <w:t>.</w:t>
      </w:r>
    </w:p>
    <w:p w14:paraId="0C13B567" w14:textId="77777777" w:rsidR="00000000" w:rsidRDefault="00BC48E4">
      <w:pPr>
        <w:jc w:val="both"/>
      </w:pPr>
      <w:r>
        <w:t>Полагая, что</w:t>
      </w:r>
    </w:p>
    <w:p w14:paraId="6B22EDDB" w14:textId="77777777" w:rsidR="00000000" w:rsidRDefault="00BC48E4">
      <w:pPr>
        <w:jc w:val="center"/>
      </w:pPr>
      <w:r>
        <w:rPr>
          <w:position w:val="-28"/>
        </w:rPr>
        <w:object w:dxaOrig="2960" w:dyaOrig="540" w14:anchorId="077E9EDF">
          <v:shape id="_x0000_i1052" type="#_x0000_t75" style="width:147.75pt;height:27pt" o:ole="">
            <v:imagedata r:id="rId56" o:title=""/>
          </v:shape>
          <o:OLEObject Type="Embed" ProgID="Equation.3" ShapeID="_x0000_i1052" DrawAspect="Content" ObjectID="_1821512238" r:id="rId57"/>
        </w:object>
      </w:r>
      <w:r>
        <w:tab/>
        <w:t>(76)</w:t>
      </w:r>
    </w:p>
    <w:p w14:paraId="360BE8AA" w14:textId="77777777" w:rsidR="00000000" w:rsidRDefault="00BC48E4">
      <w:pPr>
        <w:jc w:val="both"/>
      </w:pPr>
      <w:r>
        <w:t>можно ввести локальный оператор рассеяния</w:t>
      </w:r>
    </w:p>
    <w:p w14:paraId="01E99036" w14:textId="77777777" w:rsidR="00000000" w:rsidRDefault="00BC48E4">
      <w:pPr>
        <w:jc w:val="center"/>
      </w:pPr>
      <w:r>
        <w:rPr>
          <w:position w:val="-14"/>
        </w:rPr>
        <w:object w:dxaOrig="1980" w:dyaOrig="400" w14:anchorId="1FA1755B">
          <v:shape id="_x0000_i1053" type="#_x0000_t75" style="width:99pt;height:20.25pt" o:ole="">
            <v:imagedata r:id="rId58" o:title=""/>
          </v:shape>
          <o:OLEObject Type="Embed" ProgID="Equation.3" ShapeID="_x0000_i1053" DrawAspect="Content" ObjectID="_1821512239" r:id="rId59"/>
        </w:object>
      </w:r>
      <w:r>
        <w:tab/>
      </w:r>
      <w:r>
        <w:tab/>
        <w:t>(77)</w:t>
      </w:r>
    </w:p>
    <w:p w14:paraId="784E21E9" w14:textId="77777777" w:rsidR="00000000" w:rsidRDefault="00BC48E4">
      <w:pPr>
        <w:jc w:val="both"/>
      </w:pPr>
      <w:r>
        <w:t xml:space="preserve">С помощью оператора </w:t>
      </w:r>
      <w:r>
        <w:rPr>
          <w:lang w:val="en-US"/>
        </w:rPr>
        <w:t>T</w:t>
      </w:r>
      <w:r>
        <w:rPr>
          <w:vertAlign w:val="subscript"/>
          <w:lang w:val="en-US"/>
        </w:rPr>
        <w:t>n</w:t>
      </w:r>
      <w:r>
        <w:t xml:space="preserve"> эффективная среда, характеризуемая оператором </w:t>
      </w:r>
      <w:r>
        <w:sym w:font="Symbol" w:char="F053"/>
      </w:r>
      <w:r>
        <w:t xml:space="preserve">, заменяется рассеянием на реальном атоме в данном узле </w:t>
      </w:r>
      <w:r>
        <w:rPr>
          <w:lang w:val="en-US"/>
        </w:rPr>
        <w:t>n</w:t>
      </w:r>
      <w:r>
        <w:t>. В методе когерентного потенциала общее услов</w:t>
      </w:r>
      <w:r>
        <w:t>ие самосогласования (75) заменяется его одноузельным приближением</w:t>
      </w:r>
    </w:p>
    <w:p w14:paraId="6877CD9F" w14:textId="77777777" w:rsidR="00000000" w:rsidRDefault="00BC48E4">
      <w:pPr>
        <w:jc w:val="center"/>
      </w:pPr>
      <w:r>
        <w:rPr>
          <w:position w:val="-14"/>
        </w:rPr>
        <w:object w:dxaOrig="1160" w:dyaOrig="400" w14:anchorId="101FDB36">
          <v:shape id="_x0000_i1054" type="#_x0000_t75" style="width:57.75pt;height:20.25pt" o:ole="">
            <v:imagedata r:id="rId60" o:title=""/>
          </v:shape>
          <o:OLEObject Type="Embed" ProgID="Equation.3" ShapeID="_x0000_i1054" DrawAspect="Content" ObjectID="_1821512240" r:id="rId61"/>
        </w:object>
      </w:r>
      <w:r>
        <w:tab/>
      </w:r>
      <w:r>
        <w:tab/>
        <w:t>(78)</w:t>
      </w:r>
    </w:p>
    <w:p w14:paraId="571845C5" w14:textId="77777777" w:rsidR="00000000" w:rsidRDefault="00BC48E4">
      <w:pPr>
        <w:jc w:val="both"/>
      </w:pPr>
      <w:r>
        <w:t>таким образом, при этом подходе примесь считается находящейся в эффективной среде, функция Грина которой подбирается так, чтобы Т-матрица рассеяния на примеси в</w:t>
      </w:r>
      <w:r>
        <w:t xml:space="preserve"> среднем была равна нулю. При этом будем пренебрегать рассеянием парами атомов и более крупными кластерами. Метод когерентного потенциала точен в атомном пределе, когда перескоки электронов с узла на узел очень маловероятны. Сравнение приближений виртуальн</w:t>
      </w:r>
      <w:r>
        <w:t xml:space="preserve">ого кристалла, средней Т-матрицы и когерентного потенциала, проведенное в </w:t>
      </w:r>
      <w:r>
        <w:lastRenderedPageBreak/>
        <w:t>[175], показало, что метод когерентного потенциала не хуже аппроксимации виртуального кристалла.</w:t>
      </w:r>
    </w:p>
    <w:p w14:paraId="59397DD1" w14:textId="77777777" w:rsidR="00000000" w:rsidRDefault="00BC48E4">
      <w:pPr>
        <w:jc w:val="both"/>
      </w:pPr>
      <w:r>
        <w:t>В методе когерентного потенциала усредненная функция Грина неупорядоченной системы &lt;</w:t>
      </w:r>
      <w:r>
        <w:rPr>
          <w:lang w:val="en-US"/>
        </w:rPr>
        <w:t>G</w:t>
      </w:r>
      <w:r>
        <w:t>(</w:t>
      </w:r>
      <w:r>
        <w:rPr>
          <w:lang w:val="en-US"/>
        </w:rPr>
        <w:t>E</w:t>
      </w:r>
      <w:r>
        <w:t>)&gt; получается из функции Грина для идеальной решетки заменой энергии на комплексную величину. Аналитические свойства величин, вычисляемых в одноузельном приближении когерентного потенциала, нетривиальны; функция Грина &lt;</w:t>
      </w:r>
      <w:r>
        <w:rPr>
          <w:lang w:val="en-US"/>
        </w:rPr>
        <w:t>G</w:t>
      </w:r>
      <w:r>
        <w:t>(</w:t>
      </w:r>
      <w:r>
        <w:rPr>
          <w:lang w:val="en-US"/>
        </w:rPr>
        <w:t>z</w:t>
      </w:r>
      <w:r>
        <w:t>)&gt; аналитична всюду, кроме линий</w:t>
      </w:r>
      <w:r>
        <w:t xml:space="preserve"> разрезов, соответствующих примесной зоне и зоне основного кристалла. </w:t>
      </w:r>
    </w:p>
    <w:p w14:paraId="0D9CA04F" w14:textId="77777777" w:rsidR="00000000" w:rsidRDefault="00BC48E4">
      <w:pPr>
        <w:jc w:val="both"/>
      </w:pPr>
      <w:r>
        <w:t>Существенно, что в методе когерентного потенциала эффект рассеяния электронов вследствие неупорядоченности описывается комплексной величиной, а именно когерентным потенциалом. С точки з</w:t>
      </w:r>
      <w:r>
        <w:t>рения квантовой механики в этом нет ничего необычного. Напомним, что при многократном рассеянии волны на произвольном ансамбле рассеивателей вводится  усредненная по ансамблю волновая функция, а потенциал в уравнении Шредингера становится комплексным [176]</w:t>
      </w:r>
      <w:r>
        <w:t xml:space="preserve">. Мнимая часть потенциала описывает поглощение вследствие рассеяния. </w:t>
      </w:r>
    </w:p>
    <w:p w14:paraId="4CBEA0F5" w14:textId="77777777" w:rsidR="00000000" w:rsidRDefault="00BC48E4">
      <w:pPr>
        <w:jc w:val="both"/>
        <w:rPr>
          <w:lang w:val="en-US"/>
        </w:rPr>
      </w:pPr>
      <w:r>
        <w:t xml:space="preserve">Основная характеристика спектра возбуждений системы есть плотность состояний на единицу энергии </w:t>
      </w:r>
      <w:r>
        <w:rPr>
          <w:lang w:val="en-US"/>
        </w:rPr>
        <w:t>D</w:t>
      </w:r>
      <w:r>
        <w:t>(</w:t>
      </w:r>
      <w:r>
        <w:sym w:font="Symbol" w:char="F065"/>
      </w:r>
      <w:r>
        <w:t>). Она определяется мнимой частью функции Грина &lt;</w:t>
      </w:r>
      <w:r>
        <w:rPr>
          <w:lang w:val="en-US"/>
        </w:rPr>
        <w:t>G</w:t>
      </w:r>
      <w:r>
        <w:t>(</w:t>
      </w:r>
      <w:r>
        <w:rPr>
          <w:lang w:val="en-US"/>
        </w:rPr>
        <w:t>z</w:t>
      </w:r>
      <w:r>
        <w:t>)&gt;=</w:t>
      </w:r>
      <w:r>
        <w:rPr>
          <w:lang w:val="en-US"/>
        </w:rPr>
        <w:t>G</w:t>
      </w:r>
      <w:r>
        <w:rPr>
          <w:vertAlign w:val="superscript"/>
          <w:lang w:val="en-US"/>
        </w:rPr>
        <w:t>CPA</w:t>
      </w:r>
      <w:r>
        <w:t>. На основе одночастичной пл</w:t>
      </w:r>
      <w:r>
        <w:t xml:space="preserve">отности состояний с помощью метода когерентного потенциала можно хорошо описать поведение параметра асферичности </w:t>
      </w:r>
      <w:r>
        <w:sym w:font="Symbol" w:char="F067"/>
      </w:r>
      <w:r>
        <w:t xml:space="preserve"> для сплавов </w:t>
      </w:r>
      <w:r>
        <w:rPr>
          <w:lang w:val="en-US"/>
        </w:rPr>
        <w:t>Ni</w:t>
      </w:r>
      <w:r>
        <w:t xml:space="preserve">, </w:t>
      </w:r>
      <w:r>
        <w:rPr>
          <w:lang w:val="en-US"/>
        </w:rPr>
        <w:t>Fe</w:t>
      </w:r>
      <w:r>
        <w:t xml:space="preserve"> и </w:t>
      </w:r>
      <w:r>
        <w:rPr>
          <w:lang w:val="en-US"/>
        </w:rPr>
        <w:t>Co</w:t>
      </w:r>
      <w:r>
        <w:t xml:space="preserve"> [177].</w:t>
      </w:r>
    </w:p>
    <w:p w14:paraId="4831C1ED" w14:textId="77777777" w:rsidR="00000000" w:rsidRDefault="00BC48E4">
      <w:pPr>
        <w:jc w:val="both"/>
        <w:rPr>
          <w:lang w:val="en-US"/>
        </w:rPr>
      </w:pPr>
      <w:r>
        <w:t>Параметр асферичности является важной характеристикой, экспериментально измеряемой с помощью рассеяния медленн</w:t>
      </w:r>
      <w:r>
        <w:t xml:space="preserve">ых нейтронов и определяется следующим соотношением: </w:t>
      </w:r>
    </w:p>
    <w:p w14:paraId="37E982A8" w14:textId="77777777" w:rsidR="00000000" w:rsidRDefault="00BC48E4">
      <w:pPr>
        <w:jc w:val="both"/>
        <w:rPr>
          <w:lang w:val="en-US"/>
        </w:rPr>
      </w:pPr>
    </w:p>
    <w:p w14:paraId="14462D8B" w14:textId="77777777" w:rsidR="00000000" w:rsidRDefault="00BC48E4">
      <w:pPr>
        <w:jc w:val="center"/>
        <w:rPr>
          <w:lang w:val="en-US"/>
        </w:rPr>
      </w:pPr>
      <w:r>
        <w:rPr>
          <w:position w:val="-12"/>
        </w:rPr>
        <w:object w:dxaOrig="700" w:dyaOrig="360" w14:anchorId="31294E1B">
          <v:shape id="_x0000_i1055" type="#_x0000_t75" style="width:35.25pt;height:18pt" o:ole="">
            <v:imagedata r:id="rId62" o:title=""/>
          </v:shape>
          <o:OLEObject Type="Embed" ProgID="Equation.3" ShapeID="_x0000_i1055" DrawAspect="Content" ObjectID="_1821512241" r:id="rId63"/>
        </w:object>
      </w:r>
      <w:r>
        <w:rPr>
          <w:w w:val="90"/>
          <w:position w:val="-12"/>
          <w:sz w:val="16"/>
          <w:lang w:val="en-US"/>
        </w:rPr>
        <w:t>g</w:t>
      </w:r>
      <w:r>
        <w:t xml:space="preserve">/ </w:t>
      </w:r>
      <w:r>
        <w:sym w:font="Symbol" w:char="F06D"/>
      </w:r>
      <w:r>
        <w:rPr>
          <w:lang w:val="en-US"/>
        </w:rPr>
        <w:t xml:space="preserve">  (79)</w:t>
      </w:r>
    </w:p>
    <w:p w14:paraId="634DDE0C" w14:textId="77777777" w:rsidR="00000000" w:rsidRDefault="00BC48E4">
      <w:pPr>
        <w:jc w:val="both"/>
        <w:rPr>
          <w:lang w:val="en-US"/>
        </w:rPr>
      </w:pPr>
    </w:p>
    <w:p w14:paraId="3D4C672C" w14:textId="77777777" w:rsidR="00000000" w:rsidRDefault="00BC48E4">
      <w:pPr>
        <w:jc w:val="both"/>
      </w:pPr>
      <w:r>
        <w:t xml:space="preserve">где </w:t>
      </w:r>
      <w:r>
        <w:sym w:font="Symbol" w:char="F06D"/>
      </w:r>
      <w:r>
        <w:t xml:space="preserve"> </w:t>
      </w:r>
      <w:r>
        <w:rPr>
          <w:position w:val="-14"/>
          <w:sz w:val="18"/>
          <w:lang w:val="en-US"/>
        </w:rPr>
        <w:t>eg</w:t>
      </w:r>
      <w:r>
        <w:rPr>
          <w:position w:val="-14"/>
          <w:sz w:val="18"/>
        </w:rPr>
        <w:t xml:space="preserve"> </w:t>
      </w:r>
      <w:r>
        <w:t xml:space="preserve"> - магнитный элемент, определяемый электронами в состояниях </w:t>
      </w:r>
      <w:r>
        <w:rPr>
          <w:lang w:val="en-US"/>
        </w:rPr>
        <w:t>e</w:t>
      </w:r>
      <w:r>
        <w:rPr>
          <w:position w:val="-6"/>
          <w:sz w:val="18"/>
          <w:lang w:val="en-US"/>
        </w:rPr>
        <w:t>g</w:t>
      </w:r>
      <w:r>
        <w:t xml:space="preserve">- типа, </w:t>
      </w:r>
      <w:r>
        <w:sym w:font="Symbol" w:char="F06D"/>
      </w:r>
      <w:r>
        <w:t xml:space="preserve"> - полный спиновый магнитный момент.</w:t>
      </w:r>
    </w:p>
    <w:p w14:paraId="371EE3A5" w14:textId="77777777" w:rsidR="00000000" w:rsidRDefault="00BC48E4">
      <w:pPr>
        <w:jc w:val="both"/>
      </w:pPr>
      <w:r>
        <w:t>Эксперименты по рассеянию нейтронов показывают, чт</w:t>
      </w:r>
      <w:r>
        <w:t xml:space="preserve">о измеряемые значения </w:t>
      </w:r>
      <w:r>
        <w:sym w:font="Symbol" w:char="F067"/>
      </w:r>
      <w:r>
        <w:t xml:space="preserve"> в зависимости от </w:t>
      </w:r>
      <w:r>
        <w:sym w:font="Symbol" w:char="F06D"/>
      </w:r>
      <w:r>
        <w:t xml:space="preserve"> очень точно укладываются на прямую линию практически для всех сплавов </w:t>
      </w:r>
      <w:r>
        <w:rPr>
          <w:lang w:val="en-US"/>
        </w:rPr>
        <w:t>Ni</w:t>
      </w:r>
      <w:r>
        <w:t xml:space="preserve">, </w:t>
      </w:r>
      <w:r>
        <w:rPr>
          <w:lang w:val="en-US"/>
        </w:rPr>
        <w:t>Fe</w:t>
      </w:r>
      <w:r>
        <w:t xml:space="preserve"> и </w:t>
      </w:r>
      <w:r>
        <w:rPr>
          <w:lang w:val="en-US"/>
        </w:rPr>
        <w:t>Co</w:t>
      </w:r>
      <w:r>
        <w:t xml:space="preserve">. Т. е. </w:t>
      </w:r>
    </w:p>
    <w:p w14:paraId="370FF08E" w14:textId="77777777" w:rsidR="00000000" w:rsidRDefault="00BC48E4">
      <w:pPr>
        <w:jc w:val="center"/>
      </w:pPr>
      <w:r>
        <w:sym w:font="Symbol" w:char="F067"/>
      </w:r>
      <w:r>
        <w:t xml:space="preserve"> = а +</w:t>
      </w:r>
      <w:r>
        <w:rPr>
          <w:lang w:val="en-US"/>
        </w:rPr>
        <w:t>b</w:t>
      </w:r>
      <w:r>
        <w:sym w:font="Symbol" w:char="006D"/>
      </w:r>
      <w:r>
        <w:rPr>
          <w:lang w:val="en-US"/>
        </w:rPr>
        <w:t xml:space="preserve">     (80)</w:t>
      </w:r>
    </w:p>
    <w:p w14:paraId="798C5997" w14:textId="77777777" w:rsidR="00000000" w:rsidRDefault="00BC48E4">
      <w:pPr>
        <w:jc w:val="center"/>
      </w:pPr>
    </w:p>
    <w:p w14:paraId="1855E62D" w14:textId="77777777" w:rsidR="00000000" w:rsidRDefault="00BC48E4">
      <w:pPr>
        <w:jc w:val="both"/>
      </w:pPr>
      <w:r>
        <w:t xml:space="preserve">Только для чистого </w:t>
      </w:r>
      <w:r>
        <w:rPr>
          <w:lang w:val="en-US"/>
        </w:rPr>
        <w:t>Ni</w:t>
      </w:r>
      <w:r>
        <w:t xml:space="preserve"> это не выполняется; </w:t>
      </w:r>
      <w:r>
        <w:sym w:font="Symbol" w:char="0067"/>
      </w:r>
      <w:r>
        <w:rPr>
          <w:position w:val="-6"/>
          <w:sz w:val="18"/>
          <w:lang w:val="en-US"/>
        </w:rPr>
        <w:t>Ni</w:t>
      </w:r>
      <w:r>
        <w:t xml:space="preserve"> значительно меньше величины, следующей из (80). Возможной</w:t>
      </w:r>
      <w:r>
        <w:t xml:space="preserve"> причиной такого отклонения для чистого </w:t>
      </w:r>
      <w:r>
        <w:rPr>
          <w:lang w:val="en-US"/>
        </w:rPr>
        <w:t>Ni</w:t>
      </w:r>
      <w:r>
        <w:t xml:space="preserve"> может быть либо влияние корреляции электронов, либо специфика одно-частичного поведения системы. В [177] были рассмотрены только одно-частичные свойства системы в подходе Хасегава и Канамори (71) и показано, что д</w:t>
      </w:r>
      <w:r>
        <w:t xml:space="preserve">ля расчета параметра асферичности влияние корреляции не очень существенно. Как и в  [169], рассматривалась область концентраций сплава </w:t>
      </w:r>
      <w:r>
        <w:rPr>
          <w:position w:val="-12"/>
        </w:rPr>
        <w:object w:dxaOrig="520" w:dyaOrig="360" w14:anchorId="18A63116">
          <v:shape id="_x0000_i1056" type="#_x0000_t75" style="width:26.25pt;height:18pt" o:ole="">
            <v:imagedata r:id="rId64" o:title=""/>
          </v:shape>
          <o:OLEObject Type="Embed" ProgID="Equation.3" ShapeID="_x0000_i1056" DrawAspect="Content" ObjectID="_1821512242" r:id="rId65"/>
        </w:object>
      </w:r>
      <w:r>
        <w:rPr>
          <w:position w:val="-12"/>
        </w:rPr>
        <w:object w:dxaOrig="420" w:dyaOrig="360" w14:anchorId="3AB5D336">
          <v:shape id="_x0000_i1057" type="#_x0000_t75" style="width:21pt;height:18pt" o:ole="">
            <v:imagedata r:id="rId66" o:title=""/>
          </v:shape>
          <o:OLEObject Type="Embed" ProgID="Equation.3" ShapeID="_x0000_i1057" DrawAspect="Content" ObjectID="_1821512243" r:id="rId67"/>
        </w:object>
      </w:r>
      <w:r>
        <w:t xml:space="preserve"> при 0 ≤ с ≤ 0,5. Хасегава и Канамори  с помощью метода когерентного потенц</w:t>
      </w:r>
      <w:r>
        <w:t xml:space="preserve">иала вычислили магнитный момент </w:t>
      </w:r>
      <w:r>
        <w:sym w:font="Symbol" w:char="006D"/>
      </w:r>
      <w:r>
        <w:t xml:space="preserve"> и локальные моменты </w:t>
      </w:r>
      <w:r>
        <w:sym w:font="Symbol" w:char="006D"/>
      </w:r>
      <w:r>
        <w:t xml:space="preserve"> (</w:t>
      </w:r>
      <w:r>
        <w:rPr>
          <w:lang w:val="en-US"/>
        </w:rPr>
        <w:t>Ni</w:t>
      </w:r>
      <w:r>
        <w:t xml:space="preserve">) и </w:t>
      </w:r>
      <w:r>
        <w:sym w:font="Symbol" w:char="006D"/>
      </w:r>
      <w:r>
        <w:t xml:space="preserve"> (</w:t>
      </w:r>
      <w:r>
        <w:rPr>
          <w:lang w:val="en-US"/>
        </w:rPr>
        <w:t>Fe</w:t>
      </w:r>
      <w:r>
        <w:t>). Их результаты хорошо согласуются с экспериментом. Однако, надо заметить, что они использовали не реальную плотность состояний, а сильно идеализированную функцию и проблема решалась с ис</w:t>
      </w:r>
      <w:r>
        <w:t>пользованием многих свободных параметров.</w:t>
      </w:r>
    </w:p>
    <w:p w14:paraId="326C0A9D" w14:textId="77777777" w:rsidR="00000000" w:rsidRDefault="00BC48E4">
      <w:pPr>
        <w:jc w:val="both"/>
      </w:pPr>
      <w:r>
        <w:t xml:space="preserve">В [177]  впервые была использована реальная теоретическая плотность состояний [51, 178] для расчета параметра асферичности </w:t>
      </w:r>
      <w:r>
        <w:sym w:font="Symbol" w:char="0067"/>
      </w:r>
      <w:r>
        <w:t xml:space="preserve"> Для точного расчета </w:t>
      </w:r>
      <w:r>
        <w:sym w:font="Symbol" w:char="0067"/>
      </w:r>
      <w:r>
        <w:t xml:space="preserve"> необходимо было отдельно учесть </w:t>
      </w:r>
      <w:r>
        <w:rPr>
          <w:lang w:val="en-US"/>
        </w:rPr>
        <w:t>e</w:t>
      </w:r>
      <w:r>
        <w:rPr>
          <w:position w:val="-6"/>
          <w:sz w:val="18"/>
          <w:lang w:val="en-US"/>
        </w:rPr>
        <w:t>g</w:t>
      </w:r>
      <w:r>
        <w:t xml:space="preserve">- и </w:t>
      </w:r>
      <w:r>
        <w:rPr>
          <w:lang w:val="en-US"/>
        </w:rPr>
        <w:t>t</w:t>
      </w:r>
      <w:r>
        <w:rPr>
          <w:position w:val="-6"/>
          <w:sz w:val="18"/>
        </w:rPr>
        <w:t>2</w:t>
      </w:r>
      <w:r>
        <w:rPr>
          <w:position w:val="-6"/>
          <w:sz w:val="18"/>
          <w:lang w:val="en-US"/>
        </w:rPr>
        <w:t>g</w:t>
      </w:r>
      <w:r>
        <w:t xml:space="preserve"> – состояния. Получить  та</w:t>
      </w:r>
      <w:r>
        <w:t xml:space="preserve">кие раздельные плотности весьма сложно из-за сильной гибридизации этих состояний. В [177]  использовано то обстоятельство, что в точках и на линиях высокой симметрии, где гибридизация отсутствует, волновые функции можно отождествить с </w:t>
      </w:r>
      <w:r>
        <w:rPr>
          <w:lang w:val="en-US"/>
        </w:rPr>
        <w:t>e</w:t>
      </w:r>
      <w:r>
        <w:rPr>
          <w:position w:val="-6"/>
          <w:sz w:val="18"/>
          <w:lang w:val="en-US"/>
        </w:rPr>
        <w:t>g</w:t>
      </w:r>
      <w:r>
        <w:t xml:space="preserve">- и </w:t>
      </w:r>
      <w:r>
        <w:rPr>
          <w:lang w:val="en-US"/>
        </w:rPr>
        <w:t>t</w:t>
      </w:r>
      <w:r>
        <w:rPr>
          <w:position w:val="-6"/>
          <w:sz w:val="18"/>
        </w:rPr>
        <w:t>2</w:t>
      </w:r>
      <w:r>
        <w:rPr>
          <w:position w:val="-6"/>
          <w:sz w:val="18"/>
          <w:lang w:val="en-US"/>
        </w:rPr>
        <w:t>g</w:t>
      </w:r>
      <w:r>
        <w:t xml:space="preserve"> – состояния</w:t>
      </w:r>
      <w:r>
        <w:t xml:space="preserve">ми. Предполагалось, что количественно поведение волновых функций не сильно изменяется </w:t>
      </w:r>
      <w:r>
        <w:lastRenderedPageBreak/>
        <w:t xml:space="preserve">при переходе к другим точкам. Используемая теоретическая плотность состояний состоит из шести подзон, две из них связаны с </w:t>
      </w:r>
      <w:r>
        <w:rPr>
          <w:lang w:val="en-US"/>
        </w:rPr>
        <w:t>s</w:t>
      </w:r>
      <w:r>
        <w:t>-электронами, а остальные четыре имеют в указа</w:t>
      </w:r>
      <w:r>
        <w:t xml:space="preserve">нных точках и на линиях высокой симметрии поведение плотности состояний электронов в </w:t>
      </w:r>
      <w:r>
        <w:rPr>
          <w:lang w:val="en-US"/>
        </w:rPr>
        <w:t>t</w:t>
      </w:r>
      <w:r>
        <w:rPr>
          <w:position w:val="-6"/>
          <w:sz w:val="18"/>
        </w:rPr>
        <w:t>2</w:t>
      </w:r>
      <w:r>
        <w:rPr>
          <w:position w:val="-6"/>
          <w:sz w:val="18"/>
          <w:lang w:val="en-US"/>
        </w:rPr>
        <w:t>g</w:t>
      </w:r>
      <w:r>
        <w:t xml:space="preserve"> и </w:t>
      </w:r>
      <w:r>
        <w:rPr>
          <w:lang w:val="en-US"/>
        </w:rPr>
        <w:t>e</w:t>
      </w:r>
      <w:r>
        <w:rPr>
          <w:position w:val="-6"/>
          <w:sz w:val="18"/>
          <w:lang w:val="en-US"/>
        </w:rPr>
        <w:t>g</w:t>
      </w:r>
      <w:r>
        <w:t xml:space="preserve">-состояниях. Поэтому можно предположить приближённое разделение плотности состояний на составляющие для </w:t>
      </w:r>
      <w:r>
        <w:rPr>
          <w:lang w:val="en-US"/>
        </w:rPr>
        <w:t>t</w:t>
      </w:r>
      <w:r>
        <w:rPr>
          <w:position w:val="-6"/>
          <w:sz w:val="18"/>
        </w:rPr>
        <w:t>2</w:t>
      </w:r>
      <w:r>
        <w:rPr>
          <w:position w:val="-6"/>
          <w:sz w:val="18"/>
          <w:lang w:val="en-US"/>
        </w:rPr>
        <w:t>g</w:t>
      </w:r>
      <w:r>
        <w:t xml:space="preserve"> и </w:t>
      </w:r>
      <w:r>
        <w:rPr>
          <w:lang w:val="en-US"/>
        </w:rPr>
        <w:t>e</w:t>
      </w:r>
      <w:r>
        <w:rPr>
          <w:position w:val="-6"/>
          <w:sz w:val="18"/>
          <w:lang w:val="en-US"/>
        </w:rPr>
        <w:t>g</w:t>
      </w:r>
      <w:r>
        <w:t xml:space="preserve">- – электронов. </w:t>
      </w:r>
    </w:p>
    <w:p w14:paraId="75E000B3" w14:textId="77777777" w:rsidR="00000000" w:rsidRDefault="00BC48E4">
      <w:pPr>
        <w:jc w:val="both"/>
      </w:pPr>
      <w:r>
        <w:t xml:space="preserve">В методе когерентного потенциала, </w:t>
      </w:r>
      <w:r>
        <w:t xml:space="preserve">выражение для плотности состояний в сплаве </w:t>
      </w:r>
      <w:r>
        <w:rPr>
          <w:position w:val="-12"/>
        </w:rPr>
        <w:object w:dxaOrig="520" w:dyaOrig="360" w14:anchorId="6C749DA0">
          <v:shape id="_x0000_i1058" type="#_x0000_t75" style="width:26.25pt;height:18pt" o:ole="">
            <v:imagedata r:id="rId64" o:title=""/>
          </v:shape>
          <o:OLEObject Type="Embed" ProgID="Equation.3" ShapeID="_x0000_i1058" DrawAspect="Content" ObjectID="_1821512244" r:id="rId68"/>
        </w:object>
      </w:r>
      <w:r>
        <w:rPr>
          <w:position w:val="-12"/>
        </w:rPr>
        <w:object w:dxaOrig="420" w:dyaOrig="360" w14:anchorId="50CFE940">
          <v:shape id="_x0000_i1059" type="#_x0000_t75" style="width:21pt;height:18pt" o:ole="">
            <v:imagedata r:id="rId66" o:title=""/>
          </v:shape>
          <o:OLEObject Type="Embed" ProgID="Equation.3" ShapeID="_x0000_i1059" DrawAspect="Content" ObjectID="_1821512245" r:id="rId69"/>
        </w:object>
      </w:r>
      <w:r>
        <w:t xml:space="preserve"> имеет вид [177]</w:t>
      </w:r>
    </w:p>
    <w:p w14:paraId="2D87C0CC" w14:textId="77777777" w:rsidR="00000000" w:rsidRDefault="00BC48E4">
      <w:pPr>
        <w:jc w:val="center"/>
        <w:rPr>
          <w:lang w:val="en-US"/>
        </w:rPr>
      </w:pPr>
      <w:r>
        <w:rPr>
          <w:position w:val="-14"/>
        </w:rPr>
        <w:object w:dxaOrig="620" w:dyaOrig="440" w14:anchorId="53342C44">
          <v:shape id="_x0000_i1060" type="#_x0000_t75" style="width:30.75pt;height:21.75pt" o:ole="">
            <v:imagedata r:id="rId70" o:title=""/>
          </v:shape>
          <o:OLEObject Type="Embed" ProgID="Equation.3" ShapeID="_x0000_i1060" DrawAspect="Content" ObjectID="_1821512246" r:id="rId71"/>
        </w:object>
      </w:r>
      <w:r>
        <w:rPr>
          <w:lang w:val="en-US"/>
        </w:rPr>
        <w:t>(</w:t>
      </w:r>
      <w:r>
        <w:t>ε</w:t>
      </w:r>
      <w:r>
        <w:rPr>
          <w:lang w:val="en-US"/>
        </w:rPr>
        <w:t xml:space="preserve">) = - </w:t>
      </w:r>
      <w:r>
        <w:rPr>
          <w:position w:val="-24"/>
        </w:rPr>
        <w:object w:dxaOrig="320" w:dyaOrig="639" w14:anchorId="13931BC0">
          <v:shape id="_x0000_i1061" type="#_x0000_t75" style="width:15.75pt;height:32.25pt" o:ole="">
            <v:imagedata r:id="rId72" o:title=""/>
          </v:shape>
          <o:OLEObject Type="Embed" ProgID="Equation.3" ShapeID="_x0000_i1061" DrawAspect="Content" ObjectID="_1821512247" r:id="rId73"/>
        </w:object>
      </w:r>
      <w:r>
        <w:rPr>
          <w:lang w:val="en-US"/>
        </w:rPr>
        <w:t xml:space="preserve">Im </w:t>
      </w:r>
      <w:r>
        <w:rPr>
          <w:position w:val="-14"/>
        </w:rPr>
        <w:object w:dxaOrig="600" w:dyaOrig="440" w14:anchorId="0D9C4F92">
          <v:shape id="_x0000_i1062" type="#_x0000_t75" style="width:30pt;height:21.75pt" o:ole="">
            <v:imagedata r:id="rId74" o:title=""/>
          </v:shape>
          <o:OLEObject Type="Embed" ProgID="Equation.3" ShapeID="_x0000_i1062" DrawAspect="Content" ObjectID="_1821512248" r:id="rId75"/>
        </w:object>
      </w:r>
      <w:r>
        <w:rPr>
          <w:lang w:val="en-US"/>
        </w:rPr>
        <w:t>(</w:t>
      </w:r>
      <w:r>
        <w:t>ε</w:t>
      </w:r>
      <w:r>
        <w:rPr>
          <w:lang w:val="en-US"/>
        </w:rPr>
        <w:t>),             (81)</w:t>
      </w:r>
    </w:p>
    <w:p w14:paraId="4BFC2FFE" w14:textId="77777777" w:rsidR="00000000" w:rsidRDefault="00BC48E4">
      <w:pPr>
        <w:jc w:val="both"/>
      </w:pPr>
      <w:r>
        <w:t>где</w:t>
      </w:r>
    </w:p>
    <w:p w14:paraId="24CA13F8" w14:textId="77777777" w:rsidR="00000000" w:rsidRDefault="00BC48E4">
      <w:pPr>
        <w:jc w:val="center"/>
      </w:pPr>
      <w:r>
        <w:rPr>
          <w:position w:val="-14"/>
        </w:rPr>
        <w:object w:dxaOrig="600" w:dyaOrig="440" w14:anchorId="40A55E12">
          <v:shape id="_x0000_i1063" type="#_x0000_t75" style="width:30pt;height:21.75pt" o:ole="">
            <v:imagedata r:id="rId74" o:title=""/>
          </v:shape>
          <o:OLEObject Type="Embed" ProgID="Equation.3" ShapeID="_x0000_i1063" DrawAspect="Content" ObjectID="_1821512249" r:id="rId76"/>
        </w:object>
      </w:r>
      <w:r>
        <w:t xml:space="preserve"> </w:t>
      </w:r>
      <w:r>
        <w:rPr>
          <w:lang w:val="en-US"/>
        </w:rPr>
        <w:t>=</w:t>
      </w:r>
      <w:r>
        <w:rPr>
          <w:position w:val="-32"/>
          <w:lang w:val="en-US"/>
        </w:rPr>
        <w:object w:dxaOrig="2040" w:dyaOrig="740" w14:anchorId="23169DB3">
          <v:shape id="_x0000_i1064" type="#_x0000_t75" style="width:102pt;height:36.75pt" o:ole="">
            <v:imagedata r:id="rId77" o:title=""/>
          </v:shape>
          <o:OLEObject Type="Embed" ProgID="Equation.3" ShapeID="_x0000_i1064" DrawAspect="Content" ObjectID="_1821512250" r:id="rId78"/>
        </w:object>
      </w:r>
      <w:r>
        <w:rPr>
          <w:lang w:val="en-US"/>
        </w:rPr>
        <w:t>;   (82)</w:t>
      </w:r>
    </w:p>
    <w:p w14:paraId="776CCBC2" w14:textId="77777777" w:rsidR="00000000" w:rsidRDefault="00BC48E4">
      <w:pPr>
        <w:jc w:val="both"/>
      </w:pPr>
    </w:p>
    <w:p w14:paraId="23D1DA4C" w14:textId="77777777" w:rsidR="00000000" w:rsidRDefault="00BC48E4">
      <w:pPr>
        <w:ind w:hanging="180"/>
        <w:jc w:val="both"/>
      </w:pPr>
      <w:r>
        <w:rPr>
          <w:position w:val="-10"/>
        </w:rPr>
        <w:object w:dxaOrig="180" w:dyaOrig="340" w14:anchorId="35ACA89B">
          <v:shape id="_x0000_i1065" type="#_x0000_t75" style="width:9pt;height:17.25pt" o:ole="" o:bullet="t">
            <v:imagedata r:id="rId79" o:title=""/>
          </v:shape>
          <o:OLEObject Type="Embed" ProgID="Equation.3" ShapeID="_x0000_i1065" DrawAspect="Content" ObjectID="_1821512251" r:id="rId80"/>
        </w:object>
      </w:r>
      <w:r>
        <w:rPr>
          <w:sz w:val="32"/>
        </w:rPr>
        <w:t>Σ</w:t>
      </w:r>
      <w:r>
        <w:rPr>
          <w:position w:val="-6"/>
          <w:lang w:val="en-US"/>
        </w:rPr>
        <w:t>i</w:t>
      </w:r>
      <w:r>
        <w:t xml:space="preserve"> – когерентный потенциал, определяемый из уравнения </w:t>
      </w:r>
    </w:p>
    <w:p w14:paraId="44B06329" w14:textId="77777777" w:rsidR="00000000" w:rsidRDefault="00BC48E4">
      <w:pPr>
        <w:ind w:hanging="180"/>
        <w:jc w:val="center"/>
      </w:pPr>
      <w:r>
        <w:rPr>
          <w:position w:val="-10"/>
        </w:rPr>
        <w:object w:dxaOrig="180" w:dyaOrig="340" w14:anchorId="3BCD0E36">
          <v:shape id="_x0000_i1066" type="#_x0000_t75" style="width:9pt;height:17.25pt" o:ole="" o:bullet="t">
            <v:imagedata r:id="rId79" o:title=""/>
          </v:shape>
          <o:OLEObject Type="Embed" ProgID="Equation.3" ShapeID="_x0000_i1066" DrawAspect="Content" ObjectID="_1821512252" r:id="rId81"/>
        </w:object>
      </w:r>
      <w:r>
        <w:t xml:space="preserve"> </w:t>
      </w:r>
      <w:r>
        <w:rPr>
          <w:sz w:val="32"/>
        </w:rPr>
        <w:t>Σ</w:t>
      </w:r>
      <w:r>
        <w:rPr>
          <w:position w:val="-6"/>
          <w:lang w:val="en-US"/>
        </w:rPr>
        <w:t>i</w:t>
      </w:r>
      <w:r>
        <w:t xml:space="preserve">  = х Δ + </w:t>
      </w:r>
      <w:r>
        <w:rPr>
          <w:sz w:val="32"/>
        </w:rPr>
        <w:t>Σ</w:t>
      </w:r>
      <w:r>
        <w:rPr>
          <w:position w:val="-6"/>
          <w:lang w:val="en-US"/>
        </w:rPr>
        <w:t>i</w:t>
      </w:r>
      <w:r>
        <w:rPr>
          <w:position w:val="-6"/>
        </w:rPr>
        <w:t xml:space="preserve"> </w:t>
      </w:r>
      <w:r>
        <w:t>(Δ -</w:t>
      </w:r>
      <w:r>
        <w:rPr>
          <w:sz w:val="32"/>
        </w:rPr>
        <w:t xml:space="preserve"> Σ</w:t>
      </w:r>
      <w:r>
        <w:rPr>
          <w:position w:val="-6"/>
          <w:lang w:val="en-US"/>
        </w:rPr>
        <w:t>i</w:t>
      </w:r>
      <w:r>
        <w:t xml:space="preserve"> )</w:t>
      </w:r>
      <w:r>
        <w:rPr>
          <w:position w:val="-14"/>
        </w:rPr>
        <w:object w:dxaOrig="600" w:dyaOrig="440" w14:anchorId="44A70788">
          <v:shape id="_x0000_i1067" type="#_x0000_t75" style="width:30pt;height:21.75pt" o:ole="">
            <v:imagedata r:id="rId74" o:title=""/>
          </v:shape>
          <o:OLEObject Type="Embed" ProgID="Equation.3" ShapeID="_x0000_i1067" DrawAspect="Content" ObjectID="_1821512253" r:id="rId82"/>
        </w:object>
      </w:r>
      <w:r>
        <w:t xml:space="preserve"> (ε)                (83)</w:t>
      </w:r>
    </w:p>
    <w:p w14:paraId="3DD8F5A9" w14:textId="77777777" w:rsidR="00000000" w:rsidRDefault="00BC48E4">
      <w:pPr>
        <w:ind w:hanging="180"/>
        <w:jc w:val="both"/>
      </w:pPr>
      <w:r>
        <w:rPr>
          <w:position w:val="-10"/>
        </w:rPr>
        <w:object w:dxaOrig="180" w:dyaOrig="340" w14:anchorId="56D8C50C">
          <v:shape id="_x0000_i1068" type="#_x0000_t75" style="width:9pt;height:17.25pt" o:ole="" o:bullet="t">
            <v:imagedata r:id="rId79" o:title=""/>
          </v:shape>
          <o:OLEObject Type="Embed" ProgID="Equation.3" ShapeID="_x0000_i1068" DrawAspect="Content" ObjectID="_1821512254" r:id="rId83"/>
        </w:object>
      </w:r>
      <w:r>
        <w:t xml:space="preserve">Δ описывает сдвиг между атомными уровнями </w:t>
      </w:r>
      <w:r>
        <w:rPr>
          <w:lang w:val="en-US"/>
        </w:rPr>
        <w:t>Fe</w:t>
      </w:r>
      <w:r>
        <w:t xml:space="preserve"> </w:t>
      </w:r>
      <w:r>
        <w:rPr>
          <w:lang w:val="en-US"/>
        </w:rPr>
        <w:t>b</w:t>
      </w:r>
      <w:r>
        <w:t xml:space="preserve"> </w:t>
      </w:r>
      <w:r>
        <w:rPr>
          <w:lang w:val="en-US"/>
        </w:rPr>
        <w:t>Ni</w:t>
      </w:r>
      <w:r>
        <w:t>. В [169] этот параметр очень сильно зависит от спина   (Δ</w:t>
      </w:r>
      <w:r>
        <w:rPr>
          <w:position w:val="-6"/>
        </w:rPr>
        <w:object w:dxaOrig="220" w:dyaOrig="320" w14:anchorId="550C32A0">
          <v:shape id="_x0000_i1069" type="#_x0000_t75" style="width:11.25pt;height:11.25pt" o:ole="">
            <v:imagedata r:id="rId84" o:title=""/>
          </v:shape>
          <o:OLEObject Type="Embed" ProgID="Equation.3" ShapeID="_x0000_i1069" DrawAspect="Content" ObjectID="_1821512255" r:id="rId85"/>
        </w:object>
      </w:r>
      <w:r>
        <w:t>/Δ</w:t>
      </w:r>
      <w:r>
        <w:rPr>
          <w:position w:val="-30"/>
        </w:rPr>
        <w:object w:dxaOrig="220" w:dyaOrig="720" w14:anchorId="4FFF1916">
          <v:shape id="_x0000_i1070" type="#_x0000_t75" style="width:11.25pt;height:21pt" o:ole="">
            <v:imagedata r:id="rId86" o:title=""/>
          </v:shape>
          <o:OLEObject Type="Embed" ProgID="Equation.3" ShapeID="_x0000_i1070" DrawAspect="Content" ObjectID="_1821512256" r:id="rId87"/>
        </w:object>
      </w:r>
      <w:r>
        <w:t>=5,6) и от концентрации. В [177], напротив, предполагалось, что Δ практически не зависит от этих величин, чтобы последовательно провести учёт одно</w:t>
      </w:r>
      <w:r>
        <w:t xml:space="preserve">-частичных свойств модели. Решение задачи удаётся провести без использования свободных параметров. Были вычислены плотность состояний </w:t>
      </w:r>
      <w:r>
        <w:rPr>
          <w:position w:val="-14"/>
        </w:rPr>
        <w:object w:dxaOrig="620" w:dyaOrig="440" w14:anchorId="08724F97">
          <v:shape id="_x0000_i1071" type="#_x0000_t75" style="width:30.75pt;height:21.75pt" o:ole="">
            <v:imagedata r:id="rId70" o:title=""/>
          </v:shape>
          <o:OLEObject Type="Embed" ProgID="Equation.3" ShapeID="_x0000_i1071" DrawAspect="Content" ObjectID="_1821512257" r:id="rId88"/>
        </w:object>
      </w:r>
      <w:r>
        <w:t xml:space="preserve">(ε) и локальные плотности  </w:t>
      </w:r>
      <w:r>
        <w:rPr>
          <w:position w:val="-12"/>
        </w:rPr>
        <w:object w:dxaOrig="960" w:dyaOrig="380" w14:anchorId="24640B3B">
          <v:shape id="_x0000_i1072" type="#_x0000_t75" style="width:48pt;height:18.75pt" o:ole="">
            <v:imagedata r:id="rId89" o:title=""/>
          </v:shape>
          <o:OLEObject Type="Embed" ProgID="Equation.3" ShapeID="_x0000_i1072" DrawAspect="Content" ObjectID="_1821512258" r:id="rId90"/>
        </w:object>
      </w:r>
      <w:r>
        <w:t xml:space="preserve">   и  </w:t>
      </w:r>
      <w:r>
        <w:rPr>
          <w:position w:val="-12"/>
        </w:rPr>
        <w:object w:dxaOrig="980" w:dyaOrig="380" w14:anchorId="2D0F92D4">
          <v:shape id="_x0000_i1073" type="#_x0000_t75" style="width:48.75pt;height:18.75pt" o:ole="">
            <v:imagedata r:id="rId91" o:title=""/>
          </v:shape>
          <o:OLEObject Type="Embed" ProgID="Equation.3" ShapeID="_x0000_i1073" DrawAspect="Content" ObjectID="_1821512259" r:id="rId92"/>
        </w:object>
      </w:r>
      <w:r>
        <w:t xml:space="preserve">   для </w:t>
      </w:r>
      <w:r>
        <w:rPr>
          <w:lang w:val="en-US"/>
        </w:rPr>
        <w:t>i</w:t>
      </w:r>
      <w:r>
        <w:t xml:space="preserve"> = </w:t>
      </w:r>
      <w:r>
        <w:rPr>
          <w:lang w:val="en-US"/>
        </w:rPr>
        <w:t>t</w:t>
      </w:r>
      <w:r>
        <w:rPr>
          <w:position w:val="-6"/>
          <w:sz w:val="18"/>
        </w:rPr>
        <w:t>2</w:t>
      </w:r>
      <w:r>
        <w:rPr>
          <w:position w:val="-6"/>
          <w:sz w:val="18"/>
          <w:lang w:val="en-US"/>
        </w:rPr>
        <w:t>g</w:t>
      </w:r>
      <w:r>
        <w:t xml:space="preserve">  и ра</w:t>
      </w:r>
      <w:r>
        <w:t>зличных концентраций. Полученный на основе этих результатов для параметр асферичности γ показан на рис. 11. согласие с экпериментом хорошее.</w:t>
      </w:r>
    </w:p>
    <w:p w14:paraId="47551F19" w14:textId="77777777" w:rsidR="00000000" w:rsidRDefault="00BC48E4">
      <w:pPr>
        <w:jc w:val="both"/>
      </w:pPr>
      <w:r>
        <w:t>Интересно отметить, что результаты для вычисленных Эльком значений μ, μ(</w:t>
      </w:r>
      <w:r>
        <w:rPr>
          <w:lang w:val="en-US"/>
        </w:rPr>
        <w:t>Ni</w:t>
      </w:r>
      <w:r>
        <w:t xml:space="preserve">) и </w:t>
      </w:r>
      <w:r>
        <w:rPr>
          <w:lang w:val="en-US"/>
        </w:rPr>
        <w:t>μ</w:t>
      </w:r>
      <w:r>
        <w:t xml:space="preserve"> (</w:t>
      </w:r>
      <w:r>
        <w:rPr>
          <w:lang w:val="en-US"/>
        </w:rPr>
        <w:t>Fe</w:t>
      </w:r>
      <w:r>
        <w:t>) оказываются хуже, чем в работе</w:t>
      </w:r>
      <w:r>
        <w:t xml:space="preserve"> Хасегава и Канамори. Возможной причиной этого может быть влияние корреляций на значение μ, для описания которой в [169] использовали  дополнительные свободные параметры. В то же время, как видно на рисунке 11 поведение параметра асферичности хорошо объясн</w:t>
      </w:r>
      <w:r>
        <w:t xml:space="preserve">яется уже на основе одно-частичной плотности состояний оптимально приближённой к реальной. Дальнейшее обсуждение подхода Хасагава –Канамори дано в [179]. </w:t>
      </w:r>
    </w:p>
    <w:p w14:paraId="2796DF98" w14:textId="77777777" w:rsidR="00000000" w:rsidRDefault="00BC48E4">
      <w:pPr>
        <w:jc w:val="both"/>
      </w:pPr>
      <w:r>
        <w:t>Другое направление описания неупорядоченных сплавов с помощью гамильтониана (69)  развивалось в [180-</w:t>
      </w:r>
      <w:r>
        <w:t xml:space="preserve">181]; конкретно [180] рассматривался сплав </w:t>
      </w:r>
      <w:r>
        <w:rPr>
          <w:lang w:val="en-US"/>
        </w:rPr>
        <w:t>Pd</w:t>
      </w:r>
      <w:r>
        <w:t>-</w:t>
      </w:r>
      <w:r>
        <w:rPr>
          <w:lang w:val="en-US"/>
        </w:rPr>
        <w:t>Ni</w:t>
      </w:r>
      <w:r>
        <w:t>. Подробно проанализировал различие этих двух подходов Фукуяма. [162, 174]. Он показал, что в подходе Харриса-Цукермана [180] основное внимание сосредотачивается на динамических эффектах кулоновского взаимоде</w:t>
      </w:r>
      <w:r>
        <w:t xml:space="preserve">йствия, а пространственным изменением потенциала пренебрегается.  Поэтому такие одно-частичные величины, как локальная плотность состояний, являются пространственно однородными, за исключением возможного существования виртуально связанных состояний. Схема </w:t>
      </w:r>
      <w:r>
        <w:t xml:space="preserve">является самосогласованной, если имеет место равенство ….. в управлении (69); в этом случае возможно, в отличие от (71) учесть некоторые процессы элекрон-дырочного рассеяния более высокого порядка.  </w:t>
      </w:r>
    </w:p>
    <w:p w14:paraId="620C9811" w14:textId="77777777" w:rsidR="00BC48E4" w:rsidRDefault="00BC48E4">
      <w:pPr>
        <w:jc w:val="both"/>
      </w:pPr>
      <w:r>
        <w:t>Различие между подходами Хосегава-Канамори [169, 173, 17</w:t>
      </w:r>
      <w:r>
        <w:t>9] и Харриса-Цукермана [180] наиболее заметно проявляется при рассмотрении коллективных эффектов, в частности, при вычислении спиновой восприимчивости. Это связанно с тем, что при построении теории электронных и магнитных свойств неупорядоченных сплавов оп</w:t>
      </w:r>
      <w:r>
        <w:t xml:space="preserve">исывающихся гамильтонианом (69), необходимо учитывать случайное расположение атомов компонент на решётке и влияния кулоновской корреляции электронов на </w:t>
      </w:r>
      <w:r>
        <w:lastRenderedPageBreak/>
        <w:t>электронную структуру и физические свойства. Если, как мы видели выше, одно-частичные характеристики спл</w:t>
      </w:r>
      <w:r>
        <w:t>авов (например, параметр асферичности γ ) слабо зависит от корреляционных эффектов. То, для коллективных свойств правильный учёт корреляции более существен.</w:t>
      </w:r>
    </w:p>
    <w:sectPr w:rsidR="00BC4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05"/>
    <w:rsid w:val="00AD4E05"/>
    <w:rsid w:val="00BC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C31183"/>
  <w15:chartTrackingRefBased/>
  <w15:docId w15:val="{9C1F18B3-A37D-4BC3-9284-83D05910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  <w:rPr>
      <w:b/>
      <w:bCs/>
      <w:sz w:val="20"/>
      <w:szCs w:val="20"/>
    </w:rPr>
  </w:style>
  <w:style w:type="paragraph" w:styleId="a4">
    <w:name w:val="Title"/>
    <w:basedOn w:val="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9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1.bin"/><Relationship Id="rId68" Type="http://schemas.openxmlformats.org/officeDocument/2006/relationships/oleObject" Target="embeddings/oleObject34.bin"/><Relationship Id="rId84" Type="http://schemas.openxmlformats.org/officeDocument/2006/relationships/image" Target="media/image37.wmf"/><Relationship Id="rId89" Type="http://schemas.openxmlformats.org/officeDocument/2006/relationships/image" Target="media/image39.wmf"/><Relationship Id="rId16" Type="http://schemas.openxmlformats.org/officeDocument/2006/relationships/image" Target="media/image7.wmf"/><Relationship Id="rId11" Type="http://schemas.openxmlformats.org/officeDocument/2006/relationships/oleObject" Target="embeddings/oleObject4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7.wmf"/><Relationship Id="rId74" Type="http://schemas.openxmlformats.org/officeDocument/2006/relationships/image" Target="media/image34.wmf"/><Relationship Id="rId79" Type="http://schemas.openxmlformats.org/officeDocument/2006/relationships/image" Target="media/image36.wmf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48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5.bin"/><Relationship Id="rId8" Type="http://schemas.openxmlformats.org/officeDocument/2006/relationships/image" Target="media/image3.wmf"/><Relationship Id="rId51" Type="http://schemas.openxmlformats.org/officeDocument/2006/relationships/oleObject" Target="embeddings/oleObject25.bin"/><Relationship Id="rId72" Type="http://schemas.openxmlformats.org/officeDocument/2006/relationships/image" Target="media/image33.wmf"/><Relationship Id="rId80" Type="http://schemas.openxmlformats.org/officeDocument/2006/relationships/oleObject" Target="embeddings/oleObject41.bin"/><Relationship Id="rId85" Type="http://schemas.openxmlformats.org/officeDocument/2006/relationships/oleObject" Target="embeddings/oleObject45.bin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3.bin"/><Relationship Id="rId20" Type="http://schemas.openxmlformats.org/officeDocument/2006/relationships/image" Target="media/image9.wmf"/><Relationship Id="rId41" Type="http://schemas.openxmlformats.org/officeDocument/2006/relationships/oleObject" Target="embeddings/oleObject20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8.bin"/><Relationship Id="rId83" Type="http://schemas.openxmlformats.org/officeDocument/2006/relationships/oleObject" Target="embeddings/oleObject44.bin"/><Relationship Id="rId88" Type="http://schemas.openxmlformats.org/officeDocument/2006/relationships/oleObject" Target="embeddings/oleObject47.bin"/><Relationship Id="rId91" Type="http://schemas.openxmlformats.org/officeDocument/2006/relationships/image" Target="media/image40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10" Type="http://schemas.openxmlformats.org/officeDocument/2006/relationships/image" Target="media/image4.wmf"/><Relationship Id="rId31" Type="http://schemas.openxmlformats.org/officeDocument/2006/relationships/oleObject" Target="embeddings/oleObject15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7.bin"/><Relationship Id="rId78" Type="http://schemas.openxmlformats.org/officeDocument/2006/relationships/oleObject" Target="embeddings/oleObject40.bin"/><Relationship Id="rId81" Type="http://schemas.openxmlformats.org/officeDocument/2006/relationships/oleObject" Target="embeddings/oleObject42.bin"/><Relationship Id="rId86" Type="http://schemas.openxmlformats.org/officeDocument/2006/relationships/image" Target="media/image38.wmf"/><Relationship Id="rId94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9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7.bin"/><Relationship Id="rId76" Type="http://schemas.openxmlformats.org/officeDocument/2006/relationships/oleObject" Target="embeddings/oleObject39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6.bin"/><Relationship Id="rId92" Type="http://schemas.openxmlformats.org/officeDocument/2006/relationships/oleObject" Target="embeddings/oleObject49.bin"/><Relationship Id="rId2" Type="http://schemas.openxmlformats.org/officeDocument/2006/relationships/settings" Target="settings.xml"/><Relationship Id="rId29" Type="http://schemas.openxmlformats.org/officeDocument/2006/relationships/oleObject" Target="embeddings/oleObject14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2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6.bin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3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7.bin"/><Relationship Id="rId56" Type="http://schemas.openxmlformats.org/officeDocument/2006/relationships/image" Target="media/image26.wmf"/><Relationship Id="rId77" Type="http://schemas.openxmlformats.org/officeDocument/2006/relationships/image" Target="media/image3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1972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Сплавы магнитных переходных металлов</vt:lpstr>
    </vt:vector>
  </TitlesOfParts>
  <Company>internet.com</Company>
  <LinksUpToDate>false</LinksUpToDate>
  <CharactersWithSpaces>13187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Сплавы магнитных переходных металлов</dc:title>
  <dc:subject/>
  <dc:creator>s-operator</dc:creator>
  <cp:keywords/>
  <dc:description/>
  <cp:lastModifiedBy>Igor_Trofimov</cp:lastModifiedBy>
  <cp:revision>2</cp:revision>
  <cp:lastPrinted>2001-11-09T08:53:00Z</cp:lastPrinted>
  <dcterms:created xsi:type="dcterms:W3CDTF">2025-10-09T07:50:00Z</dcterms:created>
  <dcterms:modified xsi:type="dcterms:W3CDTF">2025-10-09T07:50:00Z</dcterms:modified>
</cp:coreProperties>
</file>