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7079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Индуктивный эффект</w:t>
      </w:r>
    </w:p>
    <w:p w14:paraId="29BFAF18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9ACFD17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Ковалентная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-связь между двумя атомами создается парой электронов, образующих общее для этих атомов электронное облако, симметричное относительно оси, проходящей через ядра атомов, максимум плотности которого расположен между положите</w:t>
      </w:r>
      <w:r>
        <w:rPr>
          <w:rFonts w:ascii="Times New Roman CYR" w:hAnsi="Times New Roman CYR" w:cs="Times New Roman CYR"/>
          <w:sz w:val="28"/>
          <w:szCs w:val="28"/>
        </w:rPr>
        <w:t>льно заряженными ядрами, что и удерживает их друг около друга. Если связанные атомы (или группы атомов) одинаковы, то электроны связи в равной степени принадлежат им обоим, электронное облако симметрично относительно плоскости, перпендикулярной связи и раз</w:t>
      </w:r>
      <w:r>
        <w:rPr>
          <w:rFonts w:ascii="Times New Roman CYR" w:hAnsi="Times New Roman CYR" w:cs="Times New Roman CYR"/>
          <w:sz w:val="28"/>
          <w:szCs w:val="28"/>
        </w:rPr>
        <w:t xml:space="preserve">деляющей ее пополам, и такая связь называется неполярной. Примером может служить неполярная ковалентная углерод-углеродная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-связь в этане:</w:t>
      </w:r>
    </w:p>
    <w:p w14:paraId="3C763F3C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F64BF82" w14:textId="036BFF78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500C49" wp14:editId="24FFC66D">
            <wp:extent cx="129540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A87A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83350BF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Значительно чаще встречаются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-связи между разными атомами (группами). Электр</w:t>
      </w:r>
      <w:r>
        <w:rPr>
          <w:rFonts w:ascii="Times New Roman CYR" w:hAnsi="Times New Roman CYR" w:cs="Times New Roman CYR"/>
          <w:sz w:val="28"/>
          <w:szCs w:val="28"/>
        </w:rPr>
        <w:t>онная плотность в таких связях смещена к одному из атомов. Например, в молекуле хлорметана электронная плотность несколько выше у атома хлора, чем у атома углерода:</w:t>
      </w:r>
    </w:p>
    <w:p w14:paraId="73AD961C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564B17F" w14:textId="0E91528C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8F42CA7" wp14:editId="35DA30DD">
            <wp:extent cx="1390650" cy="1304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A42C1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Стрелка </w:t>
      </w:r>
      <w:r>
        <w:rPr>
          <w:rFonts w:ascii="Symbol" w:hAnsi="Symbol" w:cs="Symbol"/>
          <w:sz w:val="28"/>
          <w:szCs w:val="28"/>
        </w:rPr>
        <w:t>®</w:t>
      </w:r>
      <w:r>
        <w:rPr>
          <w:rFonts w:ascii="Times New Roman CYR" w:hAnsi="Times New Roman CYR" w:cs="Times New Roman CYR"/>
          <w:sz w:val="28"/>
          <w:szCs w:val="28"/>
        </w:rPr>
        <w:t xml:space="preserve"> используется для указания направления смеще</w:t>
      </w:r>
      <w:r>
        <w:rPr>
          <w:rFonts w:ascii="Times New Roman CYR" w:hAnsi="Times New Roman CYR" w:cs="Times New Roman CYR"/>
          <w:sz w:val="28"/>
          <w:szCs w:val="28"/>
        </w:rPr>
        <w:t xml:space="preserve">ния электронной плотности вдоль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-связи.</w:t>
      </w:r>
    </w:p>
    <w:p w14:paraId="35DFDC5A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Способность атома смещать электроны связи, притягивать их к себе, т.е. способность атома к поляризации связи, характеризуется его электроотрицательностью. Для теоретического определения понятия электроотрицательност</w:t>
      </w:r>
      <w:r>
        <w:rPr>
          <w:rFonts w:ascii="Times New Roman CYR" w:hAnsi="Times New Roman CYR" w:cs="Times New Roman CYR"/>
          <w:sz w:val="28"/>
          <w:szCs w:val="28"/>
        </w:rPr>
        <w:t>и и количественной ее оценки предложен ряд методов (Малликен, Полинг, Сандерсон и др.). Соответственно этим подходам разработаны и различные (не всегда совпадающие) шкалы электроотрицательностей. Наиболее ясный физический смысл имеет шкала Малликена, котор</w:t>
      </w:r>
      <w:r>
        <w:rPr>
          <w:rFonts w:ascii="Times New Roman CYR" w:hAnsi="Times New Roman CYR" w:cs="Times New Roman CYR"/>
          <w:sz w:val="28"/>
          <w:szCs w:val="28"/>
        </w:rPr>
        <w:t>ый определил электроотрицательность атома как полусумму потенциала ионизации (энергии, необходимой для отрыва электрона от атома) и сродства к электрону (энергетического выигрыша от присоединения электрона к атому). Ограничения этого метода связаны с трудн</w:t>
      </w:r>
      <w:r>
        <w:rPr>
          <w:rFonts w:ascii="Times New Roman CYR" w:hAnsi="Times New Roman CYR" w:cs="Times New Roman CYR"/>
          <w:sz w:val="28"/>
          <w:szCs w:val="28"/>
        </w:rPr>
        <w:t>остью получения достоверных значений сродства атомов к электрону.</w:t>
      </w:r>
    </w:p>
    <w:p w14:paraId="6815344C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Чаще применяют термохимическую шкалу Полинга, основанную на энергиях связи. В этой шкале фтору произвольно приписана электроотрицательность, равная 4, а разность электроотрицательностей атом</w:t>
      </w:r>
      <w:r>
        <w:rPr>
          <w:rFonts w:ascii="Times New Roman CYR" w:hAnsi="Times New Roman CYR" w:cs="Times New Roman CYR"/>
          <w:sz w:val="28"/>
          <w:szCs w:val="28"/>
        </w:rPr>
        <w:t>ов А и В определяется из разности между истинной энергией связи А-В и средним арифметическим энергий связей А-А и В-В по формуле:</w:t>
      </w:r>
    </w:p>
    <w:p w14:paraId="10842C04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Dc</w:t>
      </w:r>
      <w:r>
        <w:rPr>
          <w:rFonts w:ascii="Times New Roman CYR" w:hAnsi="Times New Roman CYR" w:cs="Times New Roman CYR"/>
          <w:sz w:val="28"/>
          <w:szCs w:val="28"/>
        </w:rPr>
        <w:t xml:space="preserve"> = 0,208</w:t>
      </w:r>
      <w:r>
        <w:rPr>
          <w:rFonts w:ascii="Symbol" w:hAnsi="Symbol" w:cs="Symbol"/>
          <w:sz w:val="28"/>
          <w:szCs w:val="28"/>
        </w:rPr>
        <w:t>*</w:t>
      </w:r>
      <w:r>
        <w:rPr>
          <w:rFonts w:ascii="Times New Roman CYR" w:hAnsi="Times New Roman CYR" w:cs="Times New Roman CYR"/>
          <w:sz w:val="28"/>
          <w:szCs w:val="28"/>
        </w:rPr>
        <w:t>(ЕАВ - 0,5(ЕАА + ЕВВ))1/2</w:t>
      </w:r>
    </w:p>
    <w:p w14:paraId="39995837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Электроотрицательности некоторых атомов по шкале Полинга приведены в следующей таблице:</w:t>
      </w:r>
    </w:p>
    <w:p w14:paraId="4ADA09C0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716"/>
        <w:gridCol w:w="716"/>
        <w:gridCol w:w="716"/>
        <w:gridCol w:w="716"/>
        <w:gridCol w:w="716"/>
        <w:gridCol w:w="716"/>
      </w:tblGrid>
      <w:tr w:rsidR="00000000" w14:paraId="2C071C0A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E77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H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819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3A4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924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2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270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449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00000" w14:paraId="5BA0E84C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74B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619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065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18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82D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D6F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3E9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00000" w14:paraId="0833C959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C8EB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Li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CE6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Be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859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B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87F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C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D85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N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5CF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O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737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F</w:t>
            </w:r>
          </w:p>
        </w:tc>
      </w:tr>
      <w:tr w:rsidR="00000000" w14:paraId="4EC8C250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18A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7BE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301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483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E40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3.0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EB6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FEB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4.0</w:t>
            </w:r>
          </w:p>
        </w:tc>
      </w:tr>
      <w:tr w:rsidR="00000000" w14:paraId="2D5F250D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542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Na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1A0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Mg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8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Al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C0D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Si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792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P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BBD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E57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Cl</w:t>
            </w:r>
          </w:p>
        </w:tc>
      </w:tr>
      <w:tr w:rsidR="00000000" w14:paraId="6A33A891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270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0.9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55E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B1D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A26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474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9E85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86B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3.0</w:t>
            </w:r>
          </w:p>
        </w:tc>
      </w:tr>
      <w:tr w:rsidR="00000000" w14:paraId="3D1FEDC2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A23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K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BBC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Ca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543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Sc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39A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Ge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026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As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11F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Se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ED1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Br</w:t>
            </w:r>
          </w:p>
        </w:tc>
      </w:tr>
      <w:tr w:rsidR="00000000" w14:paraId="106DCC34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0F0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B754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4C4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588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9AF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169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C52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2.8</w:t>
            </w:r>
          </w:p>
        </w:tc>
      </w:tr>
      <w:tr w:rsidR="00000000" w14:paraId="41D2F43E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A8C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Rb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C0F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Sr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D91A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Y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D65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Sn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AE4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Sb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142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Te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78F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I</w:t>
            </w:r>
          </w:p>
        </w:tc>
      </w:tr>
      <w:tr w:rsidR="00000000" w14:paraId="0AAA6E24" w14:textId="77777777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D2E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B73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D97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FA0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ECA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98E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FF2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2.5</w:t>
            </w:r>
          </w:p>
        </w:tc>
      </w:tr>
    </w:tbl>
    <w:p w14:paraId="47501A2B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708BB36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Электроотрицательность элемента по Полин</w:t>
      </w:r>
      <w:r>
        <w:rPr>
          <w:rFonts w:ascii="Times New Roman CYR" w:hAnsi="Times New Roman CYR" w:cs="Times New Roman CYR"/>
          <w:sz w:val="28"/>
          <w:szCs w:val="28"/>
        </w:rPr>
        <w:t>гу коррелирует с его положением в таблице Менделеева, увеличиваясь внутри группы снизу вверх: (I &lt; Br &lt; Cl &lt; F), а внутри периода слева направо (Li &lt; Be &lt; B &lt; C &lt; N &lt; O &lt; F). Углерод и водород имеют близкие электроотрицательности, связь С-Н принято считать</w:t>
      </w:r>
      <w:r>
        <w:rPr>
          <w:rFonts w:ascii="Times New Roman CYR" w:hAnsi="Times New Roman CYR" w:cs="Times New Roman CYR"/>
          <w:sz w:val="28"/>
          <w:szCs w:val="28"/>
        </w:rPr>
        <w:t xml:space="preserve"> практически неполярной. Связь между углеродом и более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электроотрицательным элементом, таким как азот, кислород, фтор или хлор, поляризована так, что связывающие электроны смещены от углерода к гетероатому. Углерод приобретает частичный положительный заряд</w:t>
      </w:r>
      <w:r>
        <w:rPr>
          <w:rFonts w:ascii="Times New Roman CYR" w:hAnsi="Times New Roman CYR" w:cs="Times New Roman CYR"/>
          <w:sz w:val="28"/>
          <w:szCs w:val="28"/>
        </w:rPr>
        <w:t xml:space="preserve"> (недостаток электронов), а электроотрицательный атом - частичный отрицательный. Например, связь C-Cl в упомянутом выше хлорметане - полярная ковалентная связь. Связи между углеродом и менее электроотрицательными элементами поляризованы так, что С-атом нес</w:t>
      </w:r>
      <w:r>
        <w:rPr>
          <w:rFonts w:ascii="Times New Roman CYR" w:hAnsi="Times New Roman CYR" w:cs="Times New Roman CYR"/>
          <w:sz w:val="28"/>
          <w:szCs w:val="28"/>
        </w:rPr>
        <w:t>ет частичный отрицательный заряд, а второй атом - частичный положительный. Хорошим примером являются некоторые металлоорганические соединения, такие как тетраэтилсвинец - антидетонационная добавка к бензину (“этилированный” бензин):</w:t>
      </w:r>
    </w:p>
    <w:p w14:paraId="5502ED6B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5B03CD" w14:textId="4AF865E3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A61F53C" wp14:editId="69B7CB1F">
            <wp:extent cx="1485900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B8D2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598391C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Чем больше различие электроотрицательностей связанных атомов, тем сильнее электроны связи смещены к одному из них. В предельном случае, когда электронная пара почти полностью смещена в сторону более электроотрицательного атома, говорят о ион</w:t>
      </w:r>
      <w:r>
        <w:rPr>
          <w:rFonts w:ascii="Times New Roman CYR" w:hAnsi="Times New Roman CYR" w:cs="Times New Roman CYR"/>
          <w:sz w:val="28"/>
          <w:szCs w:val="28"/>
        </w:rPr>
        <w:t>ном характере связи.</w:t>
      </w:r>
    </w:p>
    <w:p w14:paraId="6BD3EBDE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Приведенные выше значения электроотрицательности не следует абсолютизировать. Во-первых, разнообразие определений понятия электроотрицательности привело к большому числу не вполне совпадающих рядов значений. Кроме того, очевидно, что т</w:t>
      </w:r>
      <w:r>
        <w:rPr>
          <w:rFonts w:ascii="Times New Roman CYR" w:hAnsi="Times New Roman CYR" w:cs="Times New Roman CYR"/>
          <w:sz w:val="28"/>
          <w:szCs w:val="28"/>
        </w:rPr>
        <w:t>олько одновалентные атомы можно характеризовать электроотрицательностью элемента (H, F, Cl, Br, I). Прочие атомы, как правило, входят в состав функциональных групп, где на них сильно влияют другие атомы группы. Например, свойства атома азота в группах -NH2</w:t>
      </w:r>
      <w:r>
        <w:rPr>
          <w:rFonts w:ascii="Times New Roman CYR" w:hAnsi="Times New Roman CYR" w:cs="Times New Roman CYR"/>
          <w:sz w:val="28"/>
          <w:szCs w:val="28"/>
        </w:rPr>
        <w:t>, -NHOH, -N=O или -NO2 очень сильно различаются и не могут оцениваться довольно абстрактными свойствами элемента N. Для определения воздействия таких групп на молекулу используют групповые электроотрицательности, рассчитываемые специальными методами.</w:t>
      </w:r>
    </w:p>
    <w:p w14:paraId="3C0C97DD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Более</w:t>
      </w:r>
      <w:r>
        <w:rPr>
          <w:rFonts w:ascii="Times New Roman CYR" w:hAnsi="Times New Roman CYR" w:cs="Times New Roman CYR"/>
          <w:sz w:val="28"/>
          <w:szCs w:val="28"/>
        </w:rPr>
        <w:t xml:space="preserve"> того, электроотрицательность атома зависит от его валентного состояния, т.е от гибридизации его валентных электронов. s-Электроны по сравнению с p-электронами занимают более компактную, сосредоточенную у атомного ядра орбиталь, сильнее притягиваются к ядр</w:t>
      </w:r>
      <w:r>
        <w:rPr>
          <w:rFonts w:ascii="Times New Roman CYR" w:hAnsi="Times New Roman CYR" w:cs="Times New Roman CYR"/>
          <w:sz w:val="28"/>
          <w:szCs w:val="28"/>
        </w:rPr>
        <w:t xml:space="preserve">у. Поэтому, чем больше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s-характер орбитали, тем больше электроотрицательность атома по направлению связи, в образовании которой данная орбиталь участвует. Например, sp-углеродные атомы более электроотрицательны, чем sp2, которые в свою очередь более электр</w:t>
      </w:r>
      <w:r>
        <w:rPr>
          <w:rFonts w:ascii="Times New Roman CYR" w:hAnsi="Times New Roman CYR" w:cs="Times New Roman CYR"/>
          <w:sz w:val="28"/>
          <w:szCs w:val="28"/>
        </w:rPr>
        <w:t>оотрицательны, чем sp3.</w:t>
      </w:r>
    </w:p>
    <w:p w14:paraId="4A2AC8A2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 говорили, что связь С-С в этане неполярна, а связь С-Cl в хлорметане, напротив, полярна. Если атом углерода, связанный с хлором, соединен с другими атомами углерода, то эти С-С-связи также оказываются поляризованы, что является с</w:t>
      </w:r>
      <w:r>
        <w:rPr>
          <w:rFonts w:ascii="Times New Roman CYR" w:hAnsi="Times New Roman CYR" w:cs="Times New Roman CYR"/>
          <w:sz w:val="28"/>
          <w:szCs w:val="28"/>
        </w:rPr>
        <w:t>ледствием двух эффектов. Первый заключается в следующем. Атом С-1, связанный с более электроотрицательным хлором, стремится скомпенсировать возникающий дефицит электронной плотности, оттягивая электроны связи между атомами С-1 и С-2. В результате, атом С-2</w:t>
      </w:r>
      <w:r>
        <w:rPr>
          <w:rFonts w:ascii="Times New Roman CYR" w:hAnsi="Times New Roman CYR" w:cs="Times New Roman CYR"/>
          <w:sz w:val="28"/>
          <w:szCs w:val="28"/>
        </w:rPr>
        <w:t xml:space="preserve"> также приобретает частичный положительный заряд, что провоцирует поляризацию следующей связи С-С, и т.д.:</w:t>
      </w:r>
    </w:p>
    <w:p w14:paraId="665FD667" w14:textId="77777777" w:rsidR="00000000" w:rsidRDefault="005B761E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FFFFFF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sz w:val="28"/>
          <w:szCs w:val="28"/>
        </w:rPr>
        <w:t>индуктивный гидролиз карбоновый кислота</w:t>
      </w:r>
    </w:p>
    <w:p w14:paraId="05B1084F" w14:textId="5F17A036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800EC2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B09CE39" wp14:editId="61F71619">
            <wp:extent cx="1895475" cy="361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87ED6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C46C42A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Значками </w:t>
      </w:r>
      <w:r>
        <w:rPr>
          <w:rFonts w:ascii="Symbol" w:hAnsi="Symbol" w:cs="Symbol"/>
          <w:sz w:val="28"/>
          <w:szCs w:val="28"/>
        </w:rPr>
        <w:t>d</w:t>
      </w:r>
      <w:r>
        <w:rPr>
          <w:rFonts w:ascii="Times New Roman CYR" w:hAnsi="Times New Roman CYR" w:cs="Times New Roman CYR"/>
          <w:sz w:val="28"/>
          <w:szCs w:val="28"/>
        </w:rPr>
        <w:t xml:space="preserve">+ и </w:t>
      </w:r>
      <w:r>
        <w:rPr>
          <w:rFonts w:ascii="Symbol" w:hAnsi="Symbol" w:cs="Symbol"/>
          <w:sz w:val="28"/>
          <w:szCs w:val="28"/>
        </w:rPr>
        <w:t>d</w:t>
      </w:r>
      <w:r>
        <w:rPr>
          <w:rFonts w:ascii="Times New Roman CYR" w:hAnsi="Times New Roman CYR" w:cs="Times New Roman CYR"/>
          <w:sz w:val="28"/>
          <w:szCs w:val="28"/>
        </w:rPr>
        <w:t>- обозначают долю элементарного заряда, которую приобрет</w:t>
      </w:r>
      <w:r>
        <w:rPr>
          <w:rFonts w:ascii="Times New Roman CYR" w:hAnsi="Times New Roman CYR" w:cs="Times New Roman CYR"/>
          <w:sz w:val="28"/>
          <w:szCs w:val="28"/>
        </w:rPr>
        <w:t xml:space="preserve">ают атомы в результате поляризации связи; значки </w:t>
      </w:r>
      <w:r>
        <w:rPr>
          <w:rFonts w:ascii="Symbol" w:hAnsi="Symbol" w:cs="Symbol"/>
          <w:sz w:val="28"/>
          <w:szCs w:val="28"/>
        </w:rPr>
        <w:t>dd</w:t>
      </w:r>
      <w:r>
        <w:rPr>
          <w:rFonts w:ascii="Times New Roman CYR" w:hAnsi="Times New Roman CYR" w:cs="Times New Roman CYR"/>
          <w:sz w:val="28"/>
          <w:szCs w:val="28"/>
        </w:rPr>
        <w:t xml:space="preserve">+ и </w:t>
      </w:r>
      <w:r>
        <w:rPr>
          <w:rFonts w:ascii="Symbol" w:hAnsi="Symbol" w:cs="Symbol"/>
          <w:sz w:val="28"/>
          <w:szCs w:val="28"/>
        </w:rPr>
        <w:t>ddd</w:t>
      </w:r>
      <w:r>
        <w:rPr>
          <w:rFonts w:ascii="Times New Roman CYR" w:hAnsi="Times New Roman CYR" w:cs="Times New Roman CYR"/>
          <w:sz w:val="28"/>
          <w:szCs w:val="28"/>
        </w:rPr>
        <w:t xml:space="preserve">+ обозначают постепенно уменьшающиеся доли первоначального частичного заряда </w:t>
      </w:r>
      <w:r>
        <w:rPr>
          <w:rFonts w:ascii="Symbol" w:hAnsi="Symbol" w:cs="Symbol"/>
          <w:sz w:val="28"/>
          <w:szCs w:val="28"/>
        </w:rPr>
        <w:t>d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01E052CF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Такую способность атомов (или групп атомов) вызывать статическую поляризацию связей в молекуле называют индуктивным эф</w:t>
      </w:r>
      <w:r>
        <w:rPr>
          <w:rFonts w:ascii="Times New Roman CYR" w:hAnsi="Times New Roman CYR" w:cs="Times New Roman CYR"/>
          <w:sz w:val="28"/>
          <w:szCs w:val="28"/>
        </w:rPr>
        <w:t xml:space="preserve">фектом. Индуктивный эффект передается по цепи, но быстро затухает: влияние атома С-1 на С-2 меньше, чем влияние атома Cl на С-1. Уже через три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-связи индуктивный эффект практически не ощущается.</w:t>
      </w:r>
    </w:p>
    <w:p w14:paraId="15D5709F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Другой эффект действует не через связи, а непосредственно че</w:t>
      </w:r>
      <w:r>
        <w:rPr>
          <w:rFonts w:ascii="Times New Roman CYR" w:hAnsi="Times New Roman CYR" w:cs="Times New Roman CYR"/>
          <w:sz w:val="28"/>
          <w:szCs w:val="28"/>
        </w:rPr>
        <w:t>рез пространство или молекулы растворителя и называется эффектом поля. Разделить эти два явления трудно, хотя в ряде случаев это было сделано. В дальнейшем, говоря о индуктивном эффекте, будем подразумевать совместное действие двух эффектов.</w:t>
      </w:r>
    </w:p>
    <w:p w14:paraId="384E37B1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Говорят, что а</w:t>
      </w:r>
      <w:r>
        <w:rPr>
          <w:rFonts w:ascii="Times New Roman CYR" w:hAnsi="Times New Roman CYR" w:cs="Times New Roman CYR"/>
          <w:sz w:val="28"/>
          <w:szCs w:val="28"/>
        </w:rPr>
        <w:t>томы или функциональные группы, имеющие тенденцию отдавать электроны, проявляют положительный индуктивный эффект (+I), а оттягивающие на себя электронную плотность - отрицательный индуктивный эффект (-I). Индуктивный эффект атома водорода принят за ноль. К</w:t>
      </w:r>
      <w:r>
        <w:rPr>
          <w:rFonts w:ascii="Times New Roman CYR" w:hAnsi="Times New Roman CYR" w:cs="Times New Roman CYR"/>
          <w:sz w:val="28"/>
          <w:szCs w:val="28"/>
        </w:rPr>
        <w:t xml:space="preserve">оличественной мерой индуктивного эффекта в алифатическом ряду служат константы заместителей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*, вычисленные по уравнению Тафта.</w:t>
      </w:r>
    </w:p>
    <w:p w14:paraId="2BBB4710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Тафт, продолжая работы Гаммета и Ингольда, для количественной оценки индуктивного эффекта использовал константы скоростей реакци</w:t>
      </w:r>
      <w:r>
        <w:rPr>
          <w:rFonts w:ascii="Times New Roman CYR" w:hAnsi="Times New Roman CYR" w:cs="Times New Roman CYR"/>
          <w:sz w:val="28"/>
          <w:szCs w:val="28"/>
        </w:rPr>
        <w:t>й кислотного (kA) и щелочного (kB) гидролиза сложных эфиров:</w:t>
      </w:r>
    </w:p>
    <w:p w14:paraId="4AA1E869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05DD571" w14:textId="448DF106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800EC2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23928DE" wp14:editId="5BED9585">
            <wp:extent cx="4076700" cy="80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22CF6" w14:textId="77C7E12E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E17D0E" wp14:editId="62086998">
            <wp:extent cx="3848100" cy="695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3BC33" w14:textId="1C3FA613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687429A" wp14:editId="610BC98A">
            <wp:extent cx="4981575" cy="809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BA7B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B29E53C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обоих случаях стадией, лимитирующей скорость реакции, является образование тетра</w:t>
      </w:r>
      <w:r>
        <w:rPr>
          <w:rFonts w:ascii="Times New Roman CYR" w:hAnsi="Times New Roman CYR" w:cs="Times New Roman CYR"/>
          <w:sz w:val="28"/>
          <w:szCs w:val="28"/>
        </w:rPr>
        <w:t>эдрического интермедиата. Соответствующие переходные состояния являются изоэлектронными и отличаются лишь двумя протонами:</w:t>
      </w:r>
    </w:p>
    <w:p w14:paraId="714C25DB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1553474" w14:textId="7A5EF7AD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12D07C" wp14:editId="704AA313">
            <wp:extent cx="2933700" cy="1019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FD37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C03EDDD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>Т.к. небольшие по размеру протоны не могут вызвать существенных искажений геометрии, то и прост</w:t>
      </w:r>
      <w:r>
        <w:rPr>
          <w:rFonts w:ascii="Times New Roman CYR" w:hAnsi="Times New Roman CYR" w:cs="Times New Roman CYR"/>
          <w:sz w:val="28"/>
          <w:szCs w:val="28"/>
        </w:rPr>
        <w:t>ранственное влияние заместителя R практически одинаково для обоих переходных состояний. Напротив, влияние индуктивного эффекта R на стабилизацию переходного состояния, а следовательно, на скорость реакции при катализе кислотой или основанием различно. Дейс</w:t>
      </w:r>
      <w:r>
        <w:rPr>
          <w:rFonts w:ascii="Times New Roman CYR" w:hAnsi="Times New Roman CYR" w:cs="Times New Roman CYR"/>
          <w:sz w:val="28"/>
          <w:szCs w:val="28"/>
        </w:rPr>
        <w:t xml:space="preserve">твительно, при гидролизе, катализируемом основанием, переходное состояние несет больший отрицательный заряд, чем исходный эфир, и стабилизируется, если R проявляет электроноакцепторные свойства, но дестабилизируется в случае электронодонорного заместителя </w:t>
      </w:r>
      <w:r>
        <w:rPr>
          <w:rFonts w:ascii="Times New Roman CYR" w:hAnsi="Times New Roman CYR" w:cs="Times New Roman CYR"/>
          <w:sz w:val="28"/>
          <w:szCs w:val="28"/>
        </w:rPr>
        <w:t>R. Скорость кислотно-катализируемой реакции почти не зависит от индуктивного эффекта R, т.к. как протонированный сложный эфир, так и переходное состояние положительно заряжены, и, следовательно, стабилизируются +I- и дестабилизируются -I-заместителями. Так</w:t>
      </w:r>
      <w:r>
        <w:rPr>
          <w:rFonts w:ascii="Times New Roman CYR" w:hAnsi="Times New Roman CYR" w:cs="Times New Roman CYR"/>
          <w:sz w:val="28"/>
          <w:szCs w:val="28"/>
        </w:rPr>
        <w:t>им образом, в соотношении скоростей основного и кислотного гидролиза пространственные эффекты сокращаются, а изменение величины kB/kA при переходе от одного эфира (например, CH3COOEt) к другому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COOEt) определяется только индуктивными эффектами радикалов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CH3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7DC90AAD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Определив скорости кислотного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и щелочного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гидролиза ряда эфиров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2COOEt и выбрав в качестве стандартного заместителя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H,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Тафт рассчитал константы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* (см. таблицу), служащие мерой индуктивного эффекта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по уравнению:</w:t>
      </w:r>
    </w:p>
    <w:p w14:paraId="24AB956C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900C66" w14:textId="3C18F086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D4E3EA" wp14:editId="0772043B">
            <wp:extent cx="1714500" cy="53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89FC9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156D017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где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0 - отношение скоростей щелочного и кислотного гидролиза этилацетата.</w:t>
      </w:r>
    </w:p>
    <w:p w14:paraId="6A79D5AC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F072716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Константы Тафта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*, полученные для гидролиза сложных эфиров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2COOEt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0"/>
        <w:gridCol w:w="1300"/>
        <w:gridCol w:w="1750"/>
        <w:gridCol w:w="1300"/>
        <w:gridCol w:w="1750"/>
        <w:gridCol w:w="1300"/>
      </w:tblGrid>
      <w:tr w:rsidR="00000000" w14:paraId="0A485789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35DA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X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56E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Symbol" w:hAnsi="Symbol" w:cs="Symbol"/>
                <w:sz w:val="20"/>
                <w:szCs w:val="20"/>
                <w:lang w:val="ru-RU"/>
              </w:rPr>
              <w:t>s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*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006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X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CA6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Symbol" w:hAnsi="Symbol" w:cs="Symbol"/>
                <w:sz w:val="20"/>
                <w:szCs w:val="20"/>
                <w:lang w:val="ru-RU"/>
              </w:rPr>
              <w:t>s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*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DBB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X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E73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Symbol" w:hAnsi="Symbol" w:cs="Symbol"/>
                <w:sz w:val="20"/>
                <w:szCs w:val="20"/>
                <w:lang w:val="ru-RU"/>
              </w:rPr>
              <w:t>s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*</w:t>
            </w:r>
          </w:p>
        </w:tc>
      </w:tr>
      <w:tr w:rsidR="00000000" w14:paraId="7ED2106A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EB9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N+(CH3)3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3BB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1.90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2A2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OCH3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EC9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0.64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554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H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0DA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0.00</w:t>
            </w:r>
          </w:p>
        </w:tc>
      </w:tr>
      <w:tr w:rsidR="00000000" w14:paraId="1D1422F2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B4A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NO2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7E8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1.40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DCC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COCH3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785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0.60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9F1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CH(CH2)5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B26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-0.06</w:t>
            </w:r>
          </w:p>
        </w:tc>
      </w:tr>
      <w:tr w:rsidR="00000000" w14:paraId="27BC3929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507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SO2CH3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5BC8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1.32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51B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OH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301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0.56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E4E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9BB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-0.10</w:t>
            </w:r>
          </w:p>
        </w:tc>
      </w:tr>
      <w:tr w:rsidR="00000000" w14:paraId="6ABA952F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9B8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CN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9A3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1.30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191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CH2NO2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3AE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0.50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88D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CH2CH3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049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-0.115</w:t>
            </w:r>
          </w:p>
        </w:tc>
      </w:tr>
      <w:tr w:rsidR="00000000" w14:paraId="1E0697D5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14F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F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852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1.10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3D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6B3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0.385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50E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CH(CH3)2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2864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-0.125</w:t>
            </w:r>
          </w:p>
        </w:tc>
      </w:tr>
      <w:tr w:rsidR="00000000" w14:paraId="65F7DBE5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7CC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B33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1.05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0AA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CH2CF3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CCA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0.32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20C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CH2CH2CH3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1A6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-0.13</w:t>
            </w:r>
          </w:p>
        </w:tc>
      </w:tr>
      <w:tr w:rsidR="00000000" w14:paraId="21EA5BFF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62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Br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41A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877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C6H5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DEA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0.215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90E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C(CH3)3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CF4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-0.165</w:t>
            </w:r>
          </w:p>
        </w:tc>
      </w:tr>
      <w:tr w:rsidR="00000000" w14:paraId="13A77BD6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00C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CF3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D20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0.92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BE7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CH=CHCH3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B5D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0.13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2A0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Si(CH3)3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894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-0.26</w:t>
            </w:r>
          </w:p>
        </w:tc>
      </w:tr>
      <w:tr w:rsidR="00000000" w14:paraId="125D8F29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75F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I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770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0.85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A85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CH2CH2CF3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755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0.12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F11F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8F9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7B8ED78E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D76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OC6H5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985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0.85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F5D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CH2C6H5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DD3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0.08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C27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C79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09899893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56C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COOC2H5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C5D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0.71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0D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CH2CH2C6H5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432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0.02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B08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9C2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7EAEF92B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Положительный знак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 отвечает заместителям, обладающим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-эффектом, отрицательные значения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 - заместителям с 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-эффектом; абсолютная величина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 характеризует силу индуктивного эффекта.</w:t>
      </w:r>
    </w:p>
    <w:p w14:paraId="1999E88D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Шкала </w:t>
      </w:r>
      <w:r>
        <w:rPr>
          <w:rFonts w:ascii="Symbol" w:hAnsi="Symbol" w:cs="Symbol"/>
          <w:sz w:val="28"/>
          <w:szCs w:val="28"/>
          <w:lang w:val="ru-RU"/>
        </w:rPr>
        <w:t xml:space="preserve"> 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 является не единственной, разработанной для оценки относительной силы индуктивного эффекта различных заместителей. Не вдаваясь в подробности, скажем, что альтернативные методы, основанные как на корреляционных, так и на спектральных исследованиях, дают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достаточно согласованные ряды. Количественная оценка индуктивного эффекта проведена для большого массива заместителей, что позволило сформулировать ряд полезных правил относительно его знака и величины:</w:t>
      </w:r>
    </w:p>
    <w:p w14:paraId="407B1B80" w14:textId="77777777" w:rsidR="00000000" w:rsidRDefault="005B761E">
      <w:pPr>
        <w:widowControl w:val="0"/>
        <w:shd w:val="clear" w:color="000000" w:fill="auto"/>
        <w:tabs>
          <w:tab w:val="left" w:pos="1008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Ионные заместители обладают особенно сильным инду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ктивным эффектом. При этом, положительно заряженные группы, такие как диазо-группа (-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Symbol" w:hAnsi="Symbol" w:cs="Symbol"/>
          <w:sz w:val="28"/>
          <w:szCs w:val="28"/>
          <w:lang w:val="en-US"/>
        </w:rPr>
        <w:t>є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или триалкиламмонийная (-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3), проявляют сильный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-эффект, а отрицательно заряженные, например, -О- или -СОО- - сильный 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-эффект.</w:t>
      </w:r>
    </w:p>
    <w:p w14:paraId="4DDAD2C5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Как для нейтральных, так и дл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 заряженных функциональных групп величина индуктивного эффекта в значительной степени определяется электроотрицательностью центрального атома, непосредственно связанного с углеродной цепочкой. Как следствие, для однотипных заместителей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 растет, 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 уменьшается в группах снизу вверх, а в периодах слева направо:</w:t>
      </w:r>
    </w:p>
    <w:p w14:paraId="5ED49E2A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3600"/>
      </w:tblGrid>
      <w:tr w:rsidR="00000000" w14:paraId="66AECC3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FD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-эффект: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4BE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+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-эффект:</w:t>
            </w:r>
          </w:p>
        </w:tc>
      </w:tr>
      <w:tr w:rsidR="00000000" w14:paraId="7D1B7C3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434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SeR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SR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OR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F65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Se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S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O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298246E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D88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SeR2+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SR2+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OR2+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491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Na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MgR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AlR2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SiR3</w:t>
            </w:r>
          </w:p>
        </w:tc>
      </w:tr>
      <w:tr w:rsidR="00000000" w14:paraId="12AB902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11A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Br </w:t>
            </w:r>
            <w:r>
              <w:rPr>
                <w:rFonts w:ascii="Symbol" w:hAnsi="Symbol" w:cs="Symbol"/>
                <w:sz w:val="20"/>
                <w:szCs w:val="20"/>
                <w:lang w:val="ru-RU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Cl </w:t>
            </w:r>
            <w:r>
              <w:rPr>
                <w:rFonts w:ascii="Symbol" w:hAnsi="Symbol" w:cs="Symbol"/>
                <w:sz w:val="20"/>
                <w:szCs w:val="20"/>
                <w:lang w:val="ru-RU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F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895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Li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BeR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&gt;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BR2</w:t>
            </w:r>
          </w:p>
        </w:tc>
      </w:tr>
      <w:tr w:rsidR="00000000" w14:paraId="0ACA48C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F3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NR2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F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EE5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</w:tr>
      <w:tr w:rsidR="00000000" w14:paraId="1934F8F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F2B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NR3+ </w:t>
            </w:r>
            <w:r>
              <w:rPr>
                <w:rFonts w:ascii="Symbol" w:hAnsi="Symbol" w:cs="Symbol"/>
                <w:sz w:val="20"/>
                <w:szCs w:val="20"/>
                <w:lang w:val="en-US"/>
              </w:rPr>
              <w:t>&lt;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OR2+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B94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</w:tr>
    </w:tbl>
    <w:p w14:paraId="203FC2FF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9286B01" w14:textId="77777777" w:rsidR="00000000" w:rsidRDefault="005B761E">
      <w:pPr>
        <w:widowControl w:val="0"/>
        <w:shd w:val="clear" w:color="000000" w:fill="auto"/>
        <w:tabs>
          <w:tab w:val="left" w:pos="1008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Групп, проявляющих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отрицательный индуктивный эффект, гораздо больше, чем заместителей с 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-эффектом. Положительный индуктивный эффект проявляют лишь отрицательно заряженные группы, менее электроотрицательные в сравнении с водородом атомы металлов и дейтерий, а также алкильн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ые группы.</w:t>
      </w:r>
    </w:p>
    <w:p w14:paraId="2E9DF24F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Все без исключения ненасыщенные углеводородные радикалы проявляют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 увеличивающийся с ростом степени ненасыщенности:</w:t>
      </w:r>
    </w:p>
    <w:p w14:paraId="7C659E95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81AAD2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</w:t>
      </w:r>
      <w:r>
        <w:rPr>
          <w:rFonts w:ascii="Symbol" w:hAnsi="Symbol" w:cs="Symbol"/>
          <w:sz w:val="28"/>
          <w:szCs w:val="28"/>
          <w:lang w:val="ru-RU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5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Symbol" w:hAnsi="Symbol" w:cs="Symbol"/>
          <w:sz w:val="28"/>
          <w:szCs w:val="28"/>
          <w:lang w:val="en-US"/>
        </w:rPr>
        <w:t>є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</w:p>
    <w:p w14:paraId="46831B52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EBBFB3F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что можно связать с большей электроотрицательностью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-углеродного атома в ср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авнении с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3.</w:t>
      </w:r>
    </w:p>
    <w:p w14:paraId="7CA26D49" w14:textId="77777777" w:rsidR="00000000" w:rsidRDefault="005B761E">
      <w:pPr>
        <w:widowControl w:val="0"/>
        <w:shd w:val="clear" w:color="000000" w:fill="auto"/>
        <w:tabs>
          <w:tab w:val="left" w:pos="1008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5.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Ненасыщенные функциональные группы проявляют сильный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-эффект, также увеличивающийся с ростом степени ненасыщенности:</w:t>
      </w:r>
    </w:p>
    <w:p w14:paraId="7E477BB5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761C811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sz w:val="28"/>
          <w:szCs w:val="28"/>
          <w:lang w:val="ru-RU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Symbol" w:hAnsi="Symbol" w:cs="Symbol"/>
          <w:sz w:val="28"/>
          <w:szCs w:val="28"/>
          <w:lang w:val="en-US"/>
        </w:rPr>
        <w:t>є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</w:p>
    <w:p w14:paraId="1D44EAA7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7EABE2A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Особенно сильным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-эффект обладают группы, в которых кратные связи имеют семиполярный характер, 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к, например, в нитрогруппе с положительным зарядом на атоме азота.</w:t>
      </w:r>
    </w:p>
    <w:p w14:paraId="038E45A0" w14:textId="77777777" w:rsidR="00000000" w:rsidRDefault="005B761E">
      <w:pPr>
        <w:widowControl w:val="0"/>
        <w:shd w:val="clear" w:color="000000" w:fill="auto"/>
        <w:tabs>
          <w:tab w:val="left" w:pos="1008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6.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Положительный индуктивный эффект алкильных заместителей увеличивается с ростом степени разветвленности:</w:t>
      </w:r>
    </w:p>
    <w:p w14:paraId="0411C20D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4E25AB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l-PL"/>
        </w:rPr>
      </w:pPr>
      <w:r>
        <w:rPr>
          <w:rFonts w:ascii="Times New Roman CYR" w:hAnsi="Times New Roman CYR" w:cs="Times New Roman CYR"/>
          <w:sz w:val="28"/>
          <w:szCs w:val="28"/>
          <w:lang w:val="pl-PL"/>
        </w:rPr>
        <w:t xml:space="preserve">CH3 </w:t>
      </w:r>
      <w:r>
        <w:rPr>
          <w:rFonts w:ascii="Symbol" w:hAnsi="Symbol" w:cs="Symbol"/>
          <w:sz w:val="28"/>
          <w:szCs w:val="28"/>
          <w:lang w:val="ru-RU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pl-PL"/>
        </w:rPr>
        <w:t xml:space="preserve"> CH2CH3 </w:t>
      </w:r>
      <w:r>
        <w:rPr>
          <w:rFonts w:ascii="Symbol" w:hAnsi="Symbol" w:cs="Symbol"/>
          <w:sz w:val="28"/>
          <w:szCs w:val="28"/>
          <w:lang w:val="ru-RU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pl-PL"/>
        </w:rPr>
        <w:t xml:space="preserve"> CH(CH3)2 </w:t>
      </w:r>
      <w:r>
        <w:rPr>
          <w:rFonts w:ascii="Symbol" w:hAnsi="Symbol" w:cs="Symbol"/>
          <w:sz w:val="28"/>
          <w:szCs w:val="28"/>
          <w:lang w:val="ru-RU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pl-PL"/>
        </w:rPr>
        <w:t xml:space="preserve"> C(CH3)3</w:t>
      </w:r>
    </w:p>
    <w:p w14:paraId="2907ECC3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l-PL"/>
        </w:rPr>
      </w:pPr>
    </w:p>
    <w:p w14:paraId="3012ADF0" w14:textId="77777777" w:rsidR="00000000" w:rsidRDefault="005B761E">
      <w:pPr>
        <w:widowControl w:val="0"/>
        <w:shd w:val="clear" w:color="000000" w:fill="auto"/>
        <w:tabs>
          <w:tab w:val="left" w:pos="720"/>
          <w:tab w:val="left" w:pos="1008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7.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Коэффициент ослабления передачи индуктивног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 эффекта (измеряемый величиной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*) через одну С-С-связь составляет приблизительно 2.7-2.8. Как следствие индуктивный эффект быстро убывает с расстоянием и уже через три-четыре связи почти не оказывает никакого влияния.</w:t>
      </w:r>
    </w:p>
    <w:p w14:paraId="57A79366" w14:textId="77777777" w:rsidR="00000000" w:rsidRDefault="005B761E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8.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При наличии нескольких полярных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заместителей их индуктивные эффекты суммируются. Убедиться в аддитивности констант Тафта можно, рассчитав сумму вкладов отдельных заместителей и сравнив ее с экспериментально определенными величинами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 для эфиров ди- и тризамещенных уксусных кислот:</w:t>
      </w:r>
    </w:p>
    <w:p w14:paraId="52CE8745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6"/>
        <w:gridCol w:w="1004"/>
      </w:tblGrid>
      <w:tr w:rsidR="00000000" w14:paraId="4040DDFA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4C6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688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Symbol" w:hAnsi="Symbol" w:cs="Symbol"/>
                <w:sz w:val="20"/>
                <w:szCs w:val="20"/>
                <w:lang w:val="ru-RU"/>
              </w:rPr>
              <w:t>s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*</w:t>
            </w:r>
          </w:p>
        </w:tc>
      </w:tr>
      <w:tr w:rsidR="00000000" w14:paraId="5E2B4A34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93B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Cl3CCOOEt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44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2.65</w:t>
            </w:r>
          </w:p>
        </w:tc>
      </w:tr>
      <w:tr w:rsidR="00000000" w14:paraId="2D61ACDB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83E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F2CHCOOEt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A8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2.05</w:t>
            </w:r>
          </w:p>
        </w:tc>
      </w:tr>
      <w:tr w:rsidR="00000000" w14:paraId="1BB815AF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0D8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Cl2CHCOOEt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925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1.94</w:t>
            </w:r>
          </w:p>
        </w:tc>
      </w:tr>
      <w:tr w:rsidR="00000000" w14:paraId="0A502BB8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AA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(C6H5)CH(OH)COOEt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4A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0.765</w:t>
            </w:r>
          </w:p>
        </w:tc>
      </w:tr>
      <w:tr w:rsidR="00000000" w14:paraId="4DB4BBE0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DA4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(C6H5)2CHCOOEt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078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0.405</w:t>
            </w:r>
          </w:p>
        </w:tc>
      </w:tr>
      <w:tr w:rsidR="00000000" w14:paraId="6ACA91FE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5C5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(C6H5)CH(CH3)COOEt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3E0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0.11</w:t>
            </w:r>
          </w:p>
        </w:tc>
      </w:tr>
      <w:tr w:rsidR="00000000" w14:paraId="75392F60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BC5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(CH3)2CHCOOEt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A4E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-0.1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9</w:t>
            </w:r>
          </w:p>
        </w:tc>
      </w:tr>
      <w:tr w:rsidR="00000000" w14:paraId="56941B4C" w14:textId="77777777">
        <w:tblPrEx>
          <w:tblCellMar>
            <w:top w:w="0" w:type="dxa"/>
            <w:bottom w:w="0" w:type="dxa"/>
          </w:tblCellMar>
        </w:tblPrEx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6BD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3)3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CCOOEt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E0C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-0.30</w:t>
            </w:r>
          </w:p>
        </w:tc>
      </w:tr>
    </w:tbl>
    <w:p w14:paraId="0AE811FF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4071FE2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Проявления индуктивного эффекта. Полярность молекулы</w:t>
      </w:r>
    </w:p>
    <w:p w14:paraId="205ED614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14780D9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Поляризация связей приводит поляризац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ии молекулы в целом, что проявляется в таком физически измеримом свойстве, как дипольный момент </w:t>
      </w:r>
      <w:r>
        <w:rPr>
          <w:rFonts w:ascii="Symbol" w:hAnsi="Symbol" w:cs="Symbol"/>
          <w:sz w:val="28"/>
          <w:szCs w:val="28"/>
          <w:lang w:val="ru-RU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который равен произведению расстояния между центрами тяжести всех положительных и всех отрицательных зарядов на их величину и направлен от отрицательного зар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яда к положительному. Дипольный момент молекулы равен векторной сумме дипольных моментов связей:</w:t>
      </w:r>
    </w:p>
    <w:p w14:paraId="5F26FEE3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60D469E" w14:textId="5330EA3A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384AB1" wp14:editId="3D4D227D">
            <wp:extent cx="5067300" cy="1352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1AC6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Проследим, как зависит дипольный момент алкилгалогенида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 индуктивного эффекта галогена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длины радикала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201F160B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39D5E10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Дипольн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ые моменты для алкилгалогенидов в газовой фазе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1913"/>
        <w:gridCol w:w="1913"/>
        <w:gridCol w:w="1913"/>
        <w:gridCol w:w="1521"/>
      </w:tblGrid>
      <w:tr w:rsidR="00000000" w14:paraId="1B8D0ACF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834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lastRenderedPageBreak/>
              <w:t>R</w:t>
            </w:r>
          </w:p>
        </w:tc>
        <w:tc>
          <w:tcPr>
            <w:tcW w:w="7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F64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sz w:val="20"/>
                <w:szCs w:val="20"/>
                <w:lang w:val="ru-RU"/>
              </w:rPr>
              <w:t>m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R-X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, D</w:t>
            </w:r>
          </w:p>
        </w:tc>
      </w:tr>
      <w:tr w:rsidR="00000000" w14:paraId="5F632CAB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6FF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C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F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1F0A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Cl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229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Br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DDB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I</w:t>
            </w:r>
          </w:p>
        </w:tc>
      </w:tr>
      <w:tr w:rsidR="00000000" w14:paraId="08043BD2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7EE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40A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1.81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021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1.87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E16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1.78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1D5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1.59</w:t>
            </w:r>
          </w:p>
        </w:tc>
      </w:tr>
      <w:tr w:rsidR="00000000" w14:paraId="22438507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970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CH3CH2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95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1.92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163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2.05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B75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2.02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542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1.90</w:t>
            </w:r>
          </w:p>
        </w:tc>
      </w:tr>
      <w:tr w:rsidR="00000000" w14:paraId="5682B544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2DD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CH3(CH2)2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6CB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AB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2.10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16E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2.15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DBA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2.01</w:t>
            </w:r>
          </w:p>
        </w:tc>
      </w:tr>
      <w:tr w:rsidR="00000000" w14:paraId="3C301B7B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C77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CH3(CH2)3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2C2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5E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2.09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E25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2.50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FA6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2.08</w:t>
            </w:r>
          </w:p>
        </w:tc>
      </w:tr>
      <w:tr w:rsidR="00000000" w14:paraId="5533923A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244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CH3(CH2)4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EB5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448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2.12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A3A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71D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367DAE76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E9AB438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Основной вклад в величины дипольных моментов молекул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вносят моменты связей C-X. Обращает на себя внимание увеличение полярности простейших алкилгалогенидов в ряду </w:t>
      </w:r>
      <w:r>
        <w:rPr>
          <w:rFonts w:ascii="Symbol" w:hAnsi="Symbol" w:cs="Symbol"/>
          <w:sz w:val="28"/>
          <w:szCs w:val="28"/>
          <w:lang w:val="ru-RU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RI &lt; </w:t>
      </w:r>
      <w:r>
        <w:rPr>
          <w:rFonts w:ascii="Symbol" w:hAnsi="Symbol" w:cs="Symbol"/>
          <w:sz w:val="28"/>
          <w:szCs w:val="28"/>
          <w:lang w:val="ru-RU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RBr &lt; </w:t>
      </w:r>
      <w:r>
        <w:rPr>
          <w:rFonts w:ascii="Symbol" w:hAnsi="Symbol" w:cs="Symbol"/>
          <w:sz w:val="28"/>
          <w:szCs w:val="28"/>
          <w:lang w:val="ru-RU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RCl, что соответствует увеличению электроотрицательности и индуктивного эффекта галогена.</w:t>
      </w:r>
    </w:p>
    <w:p w14:paraId="60008988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Значения дипольных моментов RF выпадаю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 из этой закономерности. Так, полярность RF меньше, чем RCl, несмотря на большую электроотрицательность F по сравнению с Cl. Причина в том, что связь C-F имеет длину 1.38 </w:t>
      </w:r>
      <w:r>
        <w:rPr>
          <w:rFonts w:ascii="Cambria" w:hAnsi="Cambria" w:cs="Cambria"/>
          <w:sz w:val="28"/>
          <w:szCs w:val="28"/>
          <w:lang w:val="ru-RU"/>
        </w:rPr>
        <w:t>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значительно короче, чем C-Cl (1.77 </w:t>
      </w:r>
      <w:r>
        <w:rPr>
          <w:rFonts w:ascii="Cambria" w:hAnsi="Cambria" w:cs="Cambria"/>
          <w:sz w:val="28"/>
          <w:szCs w:val="28"/>
          <w:lang w:val="ru-RU"/>
        </w:rPr>
        <w:t>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и, тем более, C-Br (1.94 </w:t>
      </w:r>
      <w:r>
        <w:rPr>
          <w:rFonts w:ascii="Cambria" w:hAnsi="Cambria" w:cs="Cambria"/>
          <w:sz w:val="28"/>
          <w:szCs w:val="28"/>
          <w:lang w:val="ru-RU"/>
        </w:rPr>
        <w:t>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и C-I (2.21 </w:t>
      </w:r>
      <w:r>
        <w:rPr>
          <w:rFonts w:ascii="Cambria" w:hAnsi="Cambria" w:cs="Cambria"/>
          <w:sz w:val="28"/>
          <w:szCs w:val="28"/>
          <w:lang w:val="ru-RU"/>
        </w:rPr>
        <w:t>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</w:t>
      </w:r>
    </w:p>
    <w:p w14:paraId="0FA9014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Дипольный момент заметно растет при переходе от метилгалогенидов к этилгалогенидам благодаря удлинению цепочки поляризованных связей. Однако, дальнейшее удлинение радикала не оказывает существенного влияния, т.к. индуктивный эффект быстро затухает, и связ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после С-3 в алкилгалогенидах почти неполярны.</w:t>
      </w:r>
    </w:p>
    <w:p w14:paraId="61A380BF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88F0BCF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Сила кислот</w:t>
      </w:r>
    </w:p>
    <w:p w14:paraId="02C4D7A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492A24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Согласно определению Бренстеда, кислотами называются вещества, отщепляющие протоны (доноры протонов), а основаниями - вещества, присоединяющие протоны (акцепторы протонов). Протон не существует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растворах в свободном состоянии, поэтому любая кислотно-основная реакция состоит в переносе протона от кислоты к основанию. Например, при растворении кислоты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воде будет устанавливаться равновесие, при котором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основанием служит молекула растворителя:</w:t>
      </w:r>
    </w:p>
    <w:p w14:paraId="18691C06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364D791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+ Н2О А- + Н3О+</w:t>
      </w:r>
    </w:p>
    <w:p w14:paraId="1EAE90C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9F5A1A6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Силу кислоты характеризуют константой диссоциации Ka, включая в нее практически постоянную концентрацию воды - 55 моль/л:</w:t>
      </w:r>
    </w:p>
    <w:p w14:paraId="4F473858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A49560A" w14:textId="6C134670" w:rsidR="00000000" w:rsidRDefault="00800EC2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6965B76" wp14:editId="727776BE">
            <wp:extent cx="1371600" cy="533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6C82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9EA3AA4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или обратным логарифмом константы диссоциации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:</w:t>
      </w:r>
    </w:p>
    <w:p w14:paraId="59D88CAE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є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-lgKa</w:t>
      </w:r>
    </w:p>
    <w:p w14:paraId="6399C6A7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66CD89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кислотность есть термодинамическая характеристика: она определяется положением равновесия диссоциации, т.е. энергиями исходного и конечного сост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ояний равновесной системы. Соединения с малыми значениями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(большими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являются слабыми кислотами, соединения с большими значениями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(малыми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- сильными кислотами.</w:t>
      </w:r>
    </w:p>
    <w:p w14:paraId="0BE7C495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Термодинамическая кислотность соединения НА зависит от структурных параметров, оп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ределяющих относительную стабильность аниона А-, и природы растворителя. Влияние строения молекулы на ее кислотность носит комплексный характер и складывается из многих факторов (электронных, пространственных, статистических и т.д.), действующих одновремен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 и не всегда согласовано. Попробуем проследить влияние индуктивного эффекта заместителя на кислотность карбоновых кислот.</w:t>
      </w:r>
    </w:p>
    <w:p w14:paraId="556D4A5D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Диссоциация карбоновой кислоты приводит к образованию карбоксилат-аниона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RCOO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-, стабильность которого определяется степенью делокали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зации отрицательного заряда. Интуитивно понятно, что, концентрация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заряда на атомах кислорода будет способствовать рекомбинации аниона с протоном, т.е. смещению кислотно-основного равновесия в сторону недиссоциированной кислоты. Следовательно, электронодон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орные группы, соединенные с карбоксилом, концентрируя заряд, дестабилизируют карбоксилат-анион, уменьшая кислотность. Электроноакцепторные группы, оттягивающие электронную плотность, напротив, должны увеличивать кислотность. Эти закономерности хорошо просл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еживаются в приведенных ниже сериях кислот (см. таблицу).</w:t>
      </w:r>
    </w:p>
    <w:p w14:paraId="5CCAC180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96E4508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Термодинамические величины pKa для карбоновых кислот (в воде, 25оС)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3"/>
        <w:gridCol w:w="2110"/>
        <w:gridCol w:w="2395"/>
        <w:gridCol w:w="2141"/>
      </w:tblGrid>
      <w:tr w:rsidR="00000000" w14:paraId="74DAF7F8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359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Кислота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10E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pKa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741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Кислота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A8C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pKa</w:t>
            </w:r>
          </w:p>
        </w:tc>
      </w:tr>
      <w:tr w:rsidR="00000000" w14:paraId="54AF69B0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DF2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B0F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3.77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A66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NO2-CH2-COOH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F5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1.68</w:t>
            </w:r>
          </w:p>
        </w:tc>
      </w:tr>
      <w:tr w:rsidR="00000000" w14:paraId="3F37D1C0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756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CH3-COOH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E2E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4.76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CD1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NC-CH2-COOH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2AB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2.47</w:t>
            </w:r>
          </w:p>
        </w:tc>
      </w:tr>
      <w:tr w:rsidR="00000000" w14:paraId="4D15813B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84B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CH3CH2-COOH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7C1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4.88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FBE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HOOC-CH2-COOH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0D4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2.83</w:t>
            </w:r>
          </w:p>
        </w:tc>
      </w:tr>
      <w:tr w:rsidR="00000000" w14:paraId="2010C47E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8F9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(CH3)3C-COOH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A2C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5.05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61D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EtOOC-CH2-COOH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569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3.35</w:t>
            </w:r>
          </w:p>
        </w:tc>
      </w:tr>
      <w:tr w:rsidR="00000000" w14:paraId="16387D28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C82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F-CH2-COOH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4FD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2.66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9BC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CH3CO-CH2-COOH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76F5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3.58</w:t>
            </w:r>
          </w:p>
        </w:tc>
      </w:tr>
      <w:tr w:rsidR="00000000" w14:paraId="141D1E1B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2D7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Cl-CH2-COOH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0D9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2.86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FC8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HOCH2-COOH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648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3.82</w:t>
            </w:r>
          </w:p>
        </w:tc>
      </w:tr>
      <w:tr w:rsidR="00000000" w14:paraId="093008FA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B8E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Br-CH2-COOH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D15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2.86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978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C6H5-CH2-COOH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932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4.31</w:t>
            </w:r>
          </w:p>
        </w:tc>
      </w:tr>
      <w:tr w:rsidR="00000000" w14:paraId="2D20A5E1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0F1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I-CH2-COOH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24D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3.12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3D4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C6H5-CH2-COOH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7E5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4.66</w:t>
            </w:r>
          </w:p>
        </w:tc>
      </w:tr>
      <w:tr w:rsidR="00000000" w14:paraId="4B5E0B58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786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Cl3C-COOH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4B0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0.65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15F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CH3CH2CHCl-COOH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CCCE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2.84</w:t>
            </w:r>
          </w:p>
        </w:tc>
      </w:tr>
      <w:tr w:rsidR="00000000" w14:paraId="572BC02D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CB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Cl2CH-COOH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F3B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1.29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B214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CH3CHClCH2-COOH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ED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4.06</w:t>
            </w:r>
          </w:p>
        </w:tc>
      </w:tr>
      <w:tr w:rsidR="00000000" w14:paraId="31A49E22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CE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ClCH2-COOH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12F6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2.86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49A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ClCH2CH2CH2-COOH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314F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4.52</w:t>
            </w:r>
          </w:p>
        </w:tc>
      </w:tr>
      <w:tr w:rsidR="00000000" w14:paraId="0FA9C4AD" w14:textId="77777777">
        <w:tblPrEx>
          <w:tblCellMar>
            <w:top w:w="0" w:type="dxa"/>
            <w:bottom w:w="0" w:type="dxa"/>
          </w:tblCellMar>
        </w:tblPrEx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50B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AE67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9B4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CH3CH2CH2-COOH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E85C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4.82</w:t>
            </w:r>
          </w:p>
        </w:tc>
      </w:tr>
    </w:tbl>
    <w:p w14:paraId="7EEADD9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344B5CA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Алкильные заместители, проявляющие 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-эффект, понижают силу кислот в ряду муравьиная </w:t>
      </w:r>
      <w:r>
        <w:rPr>
          <w:rFonts w:ascii="Symbol" w:hAnsi="Symbol" w:cs="Symbol"/>
          <w:sz w:val="28"/>
          <w:szCs w:val="28"/>
          <w:lang w:val="ru-RU"/>
        </w:rPr>
        <w:t>&gt;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уксусная </w:t>
      </w:r>
      <w:r>
        <w:rPr>
          <w:rFonts w:ascii="Symbol" w:hAnsi="Symbol" w:cs="Symbol"/>
          <w:sz w:val="28"/>
          <w:szCs w:val="28"/>
          <w:lang w:val="ru-RU"/>
        </w:rPr>
        <w:t>&gt;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пропионовая </w:t>
      </w:r>
      <w:r>
        <w:rPr>
          <w:rFonts w:ascii="Symbol" w:hAnsi="Symbol" w:cs="Symbol"/>
          <w:sz w:val="28"/>
          <w:szCs w:val="28"/>
          <w:lang w:val="ru-RU"/>
        </w:rPr>
        <w:t>&gt;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пивалиновая. Кислотность галогензамещенных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уксусных кислот растет с ростом электроотрицательности атома галогена, а также с увеличением числа заместителей. Сила замещенных алифатических кислот в целом хорошо коррелирует с константами Тафта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 (см. рисунок).</w:t>
      </w:r>
    </w:p>
    <w:p w14:paraId="4DFED3A2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Корреляция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алифатических карбоновых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кислот с </w:t>
      </w:r>
      <w:r>
        <w:rPr>
          <w:rFonts w:ascii="Symbol" w:hAnsi="Symbol" w:cs="Symbol"/>
          <w:sz w:val="28"/>
          <w:szCs w:val="28"/>
          <w:lang w:val="ru-RU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*-константами Тафта</w:t>
      </w:r>
    </w:p>
    <w:p w14:paraId="4409D21B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7CE30FF" w14:textId="3C932826" w:rsidR="00000000" w:rsidRDefault="00800EC2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13FC50B" wp14:editId="28D633EF">
            <wp:extent cx="3409950" cy="4171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A82A6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BB2F63D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Данные по кислотности изомерных хлорбутановых кислот показывают, как быстро ослабевает действие электроотрицательного заместителя при удалении от карбоксила (затухание -I-эффекта): 4-хлор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бутановая кислота по силе близка самой бутановой. Аналогичная картина наблюдается и при сравнении величин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фенилуксусной и 2-фенилпропионовой кислот.</w:t>
      </w:r>
    </w:p>
    <w:p w14:paraId="1B9D7D7F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Сила оснований</w:t>
      </w:r>
    </w:p>
    <w:p w14:paraId="03E42404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2466DBD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Силу основания В в воде можно оценить, применяя закон действующих масс к равновесному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уравнению ионизации (протонирования) основания:</w:t>
      </w:r>
    </w:p>
    <w:p w14:paraId="42ECE605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41190C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Н2О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BH+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НО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</w:t>
      </w:r>
    </w:p>
    <w:p w14:paraId="7D6AA2EB" w14:textId="3B363CAE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76DE30" wp14:editId="52199A03">
            <wp:extent cx="1352550" cy="590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0F19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3C52A7E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Однако в настоящее время константы основности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практически не применяются. О силе основания В судят по константе кислотности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сопряженной кислоты ВН+:</w:t>
      </w:r>
    </w:p>
    <w:p w14:paraId="2DFBF9B8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A7C86F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Н+ + Н2О </w:t>
      </w:r>
      <w:r>
        <w:rPr>
          <w:rFonts w:ascii="Cambria Math" w:hAnsi="Cambria Math" w:cs="Cambria Math"/>
          <w:sz w:val="28"/>
          <w:szCs w:val="28"/>
          <w:lang w:val="ru-RU"/>
        </w:rPr>
        <w:t>⇄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Н3О+</w:t>
      </w:r>
    </w:p>
    <w:p w14:paraId="5DC113D4" w14:textId="789ECC0F" w:rsidR="00000000" w:rsidRDefault="0080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368AD8" wp14:editId="4DACC8C3">
            <wp:extent cx="1333500" cy="619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8D1F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F8CC7AF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Чем меньше численное значение рКа сопряженной кислоты ВН+, тем сильнее ВН+ как кислота, тем слабее В как основание. И наоборот: сильному основанию В соответствует слабая кислота ВН+ с большим численным значением рКа.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водном растворе константы Ка и 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связаны через ионное произведение воды:</w:t>
      </w:r>
    </w:p>
    <w:p w14:paraId="06D57439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5D854B2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 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[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+][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-] = 1014 или рКа + рК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14</w:t>
      </w:r>
    </w:p>
    <w:p w14:paraId="17360E07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FC4E276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Основность характеризует способность принимать протон. Для взаимодействия с протоном основание должно иметь пару электронов; обычно эт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неподеленная пара электронов, как, например, в аминах - важнейшем классе органических оснований. Амины значительно более сильные основания, чем спирты, вода (но не анионы этих соединений!) или эфиры. В водном растворе амина вода действует как протонная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ислота, отдавая протон амину:</w:t>
      </w:r>
    </w:p>
    <w:p w14:paraId="0F307A06" w14:textId="6811A0B0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N + H2O </w:t>
      </w:r>
      <w:r w:rsidR="00800EC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79304E" wp14:editId="2A3255C8">
            <wp:extent cx="238125" cy="1238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R3NH+ + OH-.</w:t>
      </w:r>
    </w:p>
    <w:p w14:paraId="51C5F1A6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1D4535C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Сила аминов как оснований должна определяться доступностью неподеленной пары электронов, ее «готовностью» к присоединению протона и стабильностью сопряженной кислоты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положительно заряженного иона аммония. Следовало ожидать, что алкильные заместители в первичных,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вторичных и третичных аминах, обладающие 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-эффектом, будут повышать электронную плотность на атоме азота в свободном основании и стабилизировать положительно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заряженный азотный центр в сопряженной кислоте, повышая тем самым основность амина. Действительно, в газовой фазе основность аминов увеличивается с ростом числа и донорной способности алкильных заместителей в ряду:</w:t>
      </w:r>
    </w:p>
    <w:p w14:paraId="398EB309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277261B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NH3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MeNH2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EtNH2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-BuNH2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Me2NH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Me3N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Et3N 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-Bu3N</w:t>
      </w:r>
    </w:p>
    <w:p w14:paraId="1FFD9860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ECB680D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воде алкиламины также более основны, чем аммиак (см. таблицу); pKa сопряженных кислот возрастает при переходе от первичных аминов к вторичным и при замене метильных радикалов этильными. Однако при переходе к третичным аминам основно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сть неожиданно падает.</w:t>
      </w:r>
    </w:p>
    <w:p w14:paraId="3C639802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CB6409" w14:textId="77777777" w:rsidR="00000000" w:rsidRDefault="005B7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Значения pKa кислот, сопряженных алкиламинам (в воде, 25оС)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3025"/>
        <w:gridCol w:w="3025"/>
      </w:tblGrid>
      <w:tr w:rsidR="00000000" w14:paraId="094D3B3D" w14:textId="77777777">
        <w:tblPrEx>
          <w:tblCellMar>
            <w:top w:w="0" w:type="dxa"/>
            <w:bottom w:w="0" w:type="dxa"/>
          </w:tblCellMar>
        </w:tblPrEx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88E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Соединение</w:t>
            </w:r>
          </w:p>
        </w:tc>
        <w:tc>
          <w:tcPr>
            <w:tcW w:w="6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0BB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pKa</w:t>
            </w:r>
          </w:p>
        </w:tc>
      </w:tr>
      <w:tr w:rsidR="00000000" w14:paraId="64C8DD8E" w14:textId="77777777">
        <w:tblPrEx>
          <w:tblCellMar>
            <w:top w:w="0" w:type="dxa"/>
            <w:bottom w:w="0" w:type="dxa"/>
          </w:tblCellMar>
        </w:tblPrEx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440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116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 = Me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DFC1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 = Et</w:t>
            </w:r>
          </w:p>
        </w:tc>
      </w:tr>
      <w:tr w:rsidR="00000000" w14:paraId="472DF020" w14:textId="77777777">
        <w:tblPrEx>
          <w:tblCellMar>
            <w:top w:w="0" w:type="dxa"/>
            <w:bottom w:w="0" w:type="dxa"/>
          </w:tblCellMar>
        </w:tblPrEx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86C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NH3</w:t>
            </w:r>
          </w:p>
        </w:tc>
        <w:tc>
          <w:tcPr>
            <w:tcW w:w="6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3862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9.25</w:t>
            </w:r>
          </w:p>
        </w:tc>
      </w:tr>
      <w:tr w:rsidR="00000000" w14:paraId="4442B746" w14:textId="77777777">
        <w:tblPrEx>
          <w:tblCellMar>
            <w:top w:w="0" w:type="dxa"/>
            <w:bottom w:w="0" w:type="dxa"/>
          </w:tblCellMar>
        </w:tblPrEx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E460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RNH2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30E2A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10.66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3528D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10.80</w:t>
            </w:r>
          </w:p>
        </w:tc>
      </w:tr>
      <w:tr w:rsidR="00000000" w14:paraId="1E85D4DE" w14:textId="77777777">
        <w:tblPrEx>
          <w:tblCellMar>
            <w:top w:w="0" w:type="dxa"/>
            <w:bottom w:w="0" w:type="dxa"/>
          </w:tblCellMar>
        </w:tblPrEx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E048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R2NH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FA8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10.73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EF9B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11.09</w:t>
            </w:r>
          </w:p>
        </w:tc>
      </w:tr>
      <w:tr w:rsidR="00000000" w14:paraId="221908B0" w14:textId="77777777">
        <w:tblPrEx>
          <w:tblCellMar>
            <w:top w:w="0" w:type="dxa"/>
            <w:bottom w:w="0" w:type="dxa"/>
          </w:tblCellMar>
        </w:tblPrEx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0E09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R3N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2A63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9.80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FDDE" w14:textId="77777777" w:rsidR="00000000" w:rsidRDefault="005B7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10.85</w:t>
            </w:r>
          </w:p>
        </w:tc>
      </w:tr>
    </w:tbl>
    <w:p w14:paraId="356F1604" w14:textId="77777777" w:rsidR="00000000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1AC5546" w14:textId="77777777" w:rsidR="005B761E" w:rsidRDefault="005B761E">
      <w:pPr>
        <w:widowControl w:val="0"/>
        <w:shd w:val="clear" w:color="000000" w:fill="auto"/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Полагают, что причина аномального снижения основности третичных аминов кроет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ся в ослаблении взаимодействия растворителя (молекул воды) с катионом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+. Энергия электростатической сольватации и ионный объем связаны обратной зависимостью. Специфическая сольватация, обусловленная образованием водородных связей катиона аммония с кисл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ородными атомами воды, также снижается при значительной делокализации положительного заряда в катионе и увеличении пространственных препятствий, создаваемых алкильными группами. Т.е., делокализации заряда в ионе аммония, увеличивающаяся с ростом числа алки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льных заместителей, приводит к усилению внутримолекулярной стабилизации катиона (что и проявляется в газовой фазе), но одновременно снижает энергию его сольватации. В результате в воде наблюдается «колоколообразная» зависимость основности аминов от числа 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лкильных заместителей.</w:t>
      </w:r>
    </w:p>
    <w:sectPr w:rsidR="005B76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C2"/>
    <w:rsid w:val="005B761E"/>
    <w:rsid w:val="0080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AB793"/>
  <w14:defaultImageDpi w14:val="0"/>
  <w15:docId w15:val="{D72E18BD-5890-4874-927E-3A5500B7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3075</Words>
  <Characters>17530</Characters>
  <Application>Microsoft Office Word</Application>
  <DocSecurity>0</DocSecurity>
  <Lines>146</Lines>
  <Paragraphs>41</Paragraphs>
  <ScaleCrop>false</ScaleCrop>
  <Company/>
  <LinksUpToDate>false</LinksUpToDate>
  <CharactersWithSpaces>20564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2025-11-06T10:40:00Z</dcterms:created>
  <dcterms:modified xsi:type="dcterms:W3CDTF">2025-11-06T10:40:00Z</dcterms:modified>
</cp:coreProperties>
</file>