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D35BA"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62E3EE"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CF069D"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3D971E"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p>
    <w:p w14:paraId="7EDB2AD1"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p>
    <w:p w14:paraId="39069AB9"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p>
    <w:p w14:paraId="4D6A7C5B"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p>
    <w:p w14:paraId="09317E09"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p>
    <w:p w14:paraId="4ABCE3FA"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p>
    <w:p w14:paraId="4B82DD50"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en-US"/>
        </w:rPr>
      </w:pPr>
    </w:p>
    <w:p w14:paraId="76712AB0" w14:textId="77777777" w:rsidR="00000000" w:rsidRDefault="00000000">
      <w:pPr>
        <w:widowControl w:val="0"/>
        <w:tabs>
          <w:tab w:val="left" w:pos="708"/>
        </w:tabs>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КУРСОВАЯ РАБОТА</w:t>
      </w:r>
    </w:p>
    <w:p w14:paraId="6E7F9FF7" w14:textId="77777777" w:rsidR="00000000" w:rsidRDefault="00000000">
      <w:pPr>
        <w:widowControl w:val="0"/>
        <w:tabs>
          <w:tab w:val="left" w:pos="708"/>
        </w:tabs>
        <w:autoSpaceDE w:val="0"/>
        <w:autoSpaceDN w:val="0"/>
        <w:adjustRightInd w:val="0"/>
        <w:spacing w:after="0" w:line="360" w:lineRule="auto"/>
        <w:ind w:firstLine="709"/>
        <w:jc w:val="center"/>
        <w:rPr>
          <w:rFonts w:ascii="Times New Roman CYR" w:hAnsi="Times New Roman CYR" w:cs="Times New Roman CYR"/>
          <w:kern w:val="0"/>
          <w:sz w:val="28"/>
          <w:szCs w:val="28"/>
        </w:rPr>
      </w:pPr>
    </w:p>
    <w:p w14:paraId="3128B4A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Тема: Анализ системы титанат алюминия - кордиерит</w:t>
      </w:r>
    </w:p>
    <w:p w14:paraId="01A73021" w14:textId="77777777" w:rsidR="00000000" w:rsidRDefault="00000000">
      <w:pPr>
        <w:widowControl w:val="0"/>
        <w:tabs>
          <w:tab w:val="left" w:pos="708"/>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Содержание</w:t>
      </w:r>
    </w:p>
    <w:p w14:paraId="05EE24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FFFFFF"/>
          <w:kern w:val="0"/>
          <w:sz w:val="28"/>
          <w:szCs w:val="28"/>
        </w:rPr>
      </w:pPr>
      <w:r>
        <w:rPr>
          <w:rFonts w:ascii="Times New Roman CYR" w:hAnsi="Times New Roman CYR" w:cs="Times New Roman CYR"/>
          <w:b/>
          <w:bCs/>
          <w:color w:val="FFFFFF"/>
          <w:kern w:val="0"/>
          <w:sz w:val="28"/>
          <w:szCs w:val="28"/>
        </w:rPr>
        <w:t>титанат алюминий кордиерит термостойкость</w:t>
      </w:r>
    </w:p>
    <w:p w14:paraId="1BEACEB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Введение</w:t>
      </w:r>
    </w:p>
    <w:p w14:paraId="1A07F67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Аналитический обзор</w:t>
      </w:r>
    </w:p>
    <w:p w14:paraId="3E87C49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Термостойкость огнеупорных материалов</w:t>
      </w:r>
    </w:p>
    <w:p w14:paraId="798E506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Свойства кордиерита</w:t>
      </w:r>
    </w:p>
    <w:p w14:paraId="63B04D2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 Свойства титаната алюминия</w:t>
      </w:r>
    </w:p>
    <w:p w14:paraId="7D8C85D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Цели и задачи исследования</w:t>
      </w:r>
    </w:p>
    <w:p w14:paraId="12F77D8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rPr>
        <w:t xml:space="preserve"> Экспериментальная часть</w:t>
      </w:r>
    </w:p>
    <w:p w14:paraId="3B9821D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Синтез кордиерита</w:t>
      </w:r>
    </w:p>
    <w:p w14:paraId="56567DC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 Синтез титаната алюминия</w:t>
      </w:r>
    </w:p>
    <w:p w14:paraId="4F25461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Выводы</w:t>
      </w:r>
    </w:p>
    <w:p w14:paraId="63FEBCA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литературы</w:t>
      </w:r>
    </w:p>
    <w:p w14:paraId="3E98BD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Введение</w:t>
      </w:r>
    </w:p>
    <w:p w14:paraId="04AD4E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7AA45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современных условиях роль огнеупорных материалов с комплексом ценных свойств, таких как термостойкость, высокая коррозионная устойчивость, механическая прочность и другие постоянно растет.</w:t>
      </w:r>
    </w:p>
    <w:p w14:paraId="2A3032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Известно, что эффективное применение огнеупорных материалов в технике высоких температур часто определяется их способностью противостоять воздействию термических нагружений не разрушаясь и сохраняя высокие показатели механических и теплофизических свойств.</w:t>
      </w:r>
    </w:p>
    <w:p w14:paraId="1615AD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последнее время возрос интерес к получению огнеупоров с использованием титаната алюминия, соединения, уникального по своим свойствам.</w:t>
      </w:r>
    </w:p>
    <w:p w14:paraId="58A29C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Керамические материалы состава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Т</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(тиалит) не получили широкого распространения в странах СНГ, но очень интенсивно исследуются и применяются за рубежом в последние десятилетия. На их основе возник и развивается рынок материалов и изделий из термостойкой керамики для высоких и умеренных температур, на котором работают десятки и сотни фирм-производителей. Так, по данным  компании «</w:t>
      </w:r>
      <w:r>
        <w:rPr>
          <w:rFonts w:ascii="Times New Roman CYR" w:hAnsi="Times New Roman CYR" w:cs="Times New Roman CYR"/>
          <w:kern w:val="0"/>
          <w:sz w:val="28"/>
          <w:szCs w:val="28"/>
          <w:lang w:val="en-US"/>
        </w:rPr>
        <w:t>CERAM</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Researcy</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Ltd</w:t>
      </w:r>
      <w:r>
        <w:rPr>
          <w:rFonts w:ascii="Times New Roman CYR" w:hAnsi="Times New Roman CYR" w:cs="Times New Roman CYR"/>
          <w:kern w:val="0"/>
          <w:sz w:val="28"/>
          <w:szCs w:val="28"/>
        </w:rPr>
        <w:t>.» (Великобритания), тиалит применяется для изготовления тиглей, разливочных желобов, ковшей, изложниц, пробок при литье ряда металлов, в первую очередь алюминия, где обнаруживает большой срок службы, чем кварц и силикаты. Компания «</w:t>
      </w:r>
      <w:r>
        <w:rPr>
          <w:rFonts w:ascii="Times New Roman CYR" w:hAnsi="Times New Roman CYR" w:cs="Times New Roman CYR"/>
          <w:kern w:val="0"/>
          <w:sz w:val="28"/>
          <w:szCs w:val="28"/>
          <w:lang w:val="en-GB"/>
        </w:rPr>
        <w:t>Reade</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GB"/>
        </w:rPr>
        <w:t>International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GB"/>
        </w:rPr>
        <w:t>Ltd</w:t>
      </w:r>
      <w:r>
        <w:rPr>
          <w:rFonts w:ascii="Times New Roman CYR" w:hAnsi="Times New Roman CYR" w:cs="Times New Roman CYR"/>
          <w:kern w:val="0"/>
          <w:sz w:val="28"/>
          <w:szCs w:val="28"/>
        </w:rPr>
        <w:t>.» (</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ША) поставляет помимо тиглей, сопел, труб и термопар для цветной металлургии футерованные патрубки для двигателей автомобилей, модельные формы для стекловаренной промышленности, термо- , коррозионно- и износостойкие покрытия для всех отраслей. Китайская фирма «</w:t>
      </w:r>
      <w:r>
        <w:rPr>
          <w:rFonts w:ascii="Times New Roman CYR" w:hAnsi="Times New Roman CYR" w:cs="Times New Roman CYR"/>
          <w:kern w:val="0"/>
          <w:sz w:val="28"/>
          <w:szCs w:val="28"/>
          <w:lang w:val="en-GB"/>
        </w:rPr>
        <w:t>Zoomber</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GB"/>
        </w:rPr>
        <w:t>Advanced</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GB"/>
        </w:rPr>
        <w:t>Materials</w:t>
      </w:r>
      <w:r>
        <w:rPr>
          <w:rFonts w:ascii="Times New Roman CYR" w:hAnsi="Times New Roman CYR" w:cs="Times New Roman CYR"/>
          <w:kern w:val="0"/>
          <w:sz w:val="28"/>
          <w:szCs w:val="28"/>
        </w:rPr>
        <w:t>» выпускает чехлы для термопар, тигли и трубки для литья алюминиевых сплавов, изложницы и фильтры для цветной металлургии.</w:t>
      </w:r>
    </w:p>
    <w:p w14:paraId="71502B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lastRenderedPageBreak/>
        <w:t xml:space="preserve">Все эти и многие другие перспективные применения тиалита основаны на замечательном свойстве - близком к нулю коэффициенте термического расширения. Благодаря этому материал не испытывает термических напряжений при перепадах температур и способен выдержать сколь угодно сильные и многочисленные термоудары в пределах области своих рабочих температур. Эта особенность достигается за счет взаимной компенсации коэффициентов расширения оксидов титана и алюминия при стехиометрическом их соотношении, соответствующем формуле титаната алюминия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uk-UA"/>
        </w:rPr>
        <w:t>.</w:t>
      </w:r>
    </w:p>
    <w:p w14:paraId="2BB3AD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Однако указанное достоинство превращается в недостаток в плане микроструктуры и механической прочности. Согласно исследованиям фазовых состояний в данной системе титаната алюминия  устойчив только при температурах свыше 1280°С. При охлаждении после синтеза он подвергается эвтектоидному распаду на рутил и корунд, термические напряжения между образующимися кристаллами  порождают своеобразную трещиноватую структуру, отличающуюся низкой прочностью при относительно высокой трещиностойкости  и газопроницаемостью при относительно высокой кажущейся плотности. Термостойкости такая структура не теряет, так как термические напряжения компенсируются в ней на уровне индивидуальных кристаллов или даже целых блоков. Но прочность получаемых керамических материалов низка не только для конструкционных применений, но и для тиглей или футеровки.</w:t>
      </w:r>
    </w:p>
    <w:p w14:paraId="27084AC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связи с этим уже более полувека ведутся интенсивные поиски способов упрочнения тиалита. Можно выделить три основных направления этих поисков: легирование, дисперсионное упрочнение и соединение с другими оксидными материалами.</w:t>
      </w:r>
    </w:p>
    <w:p w14:paraId="0429988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Легирование оксидами многовалентных металлов, преимущественно иттрия, церия, лантана, с целью предотвращения распада высокотемпературной </w:t>
      </w:r>
      <w:r>
        <w:rPr>
          <w:rFonts w:ascii="Times New Roman CYR" w:hAnsi="Times New Roman CYR" w:cs="Times New Roman CYR"/>
          <w:kern w:val="0"/>
          <w:sz w:val="28"/>
          <w:szCs w:val="28"/>
        </w:rPr>
        <w:lastRenderedPageBreak/>
        <w:t xml:space="preserve">фазы </w:t>
      </w:r>
      <w:r>
        <w:rPr>
          <w:rFonts w:ascii="Times New Roman" w:hAnsi="Times New Roman" w:cs="Times New Roman"/>
          <w:kern w:val="0"/>
          <w:sz w:val="28"/>
          <w:szCs w:val="28"/>
          <w:lang w:val="en-US"/>
        </w:rPr>
        <w:t>α</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rPr>
        <w:t>0</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было одной из первых попыток создания монолитного, а следовательно, прочного материала. Так получали плотную, мелкозернистую и термостойкую до 1500 - 1600°С керамику. Однако существенно повысить прочность без снижения термостойкости тиалита в этом направлении не удалось.</w:t>
      </w:r>
    </w:p>
    <w:p w14:paraId="4ACE0E0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Дальнейшие усилия были направлены на упрочнение тиалита инородными включениями - монокристаллическими частицами, волокнами, трансформационными центрами и т. п. В этом направлении были достигнуты заметные успехи. Так, при упрочнении тиалита всего 2,5% </w:t>
      </w:r>
      <w:r>
        <w:rPr>
          <w:rFonts w:ascii="Times New Roman CYR" w:hAnsi="Times New Roman CYR" w:cs="Times New Roman CYR"/>
          <w:kern w:val="0"/>
          <w:sz w:val="28"/>
          <w:szCs w:val="28"/>
          <w:lang w:val="en-US"/>
        </w:rPr>
        <w:t>ZrO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прочность материала повышается от 20 до 29 МПа. Еще более сильный эффект получается при введении пластинчатых частиц </w:t>
      </w:r>
      <w:r>
        <w:rPr>
          <w:rFonts w:ascii="Times New Roman CYR" w:hAnsi="Times New Roman CYR" w:cs="Times New Roman CYR"/>
          <w:kern w:val="0"/>
          <w:sz w:val="28"/>
          <w:szCs w:val="28"/>
          <w:lang w:val="en-US"/>
        </w:rPr>
        <w:t>AI</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вязкость разрушения растет от 1 до 5 МПа*м</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Введение в синтезированный высококачественный порошок А1</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Т</w:t>
      </w:r>
      <w:r>
        <w:rPr>
          <w:rFonts w:ascii="Times New Roman CYR" w:hAnsi="Times New Roman CYR" w:cs="Times New Roman CYR"/>
          <w:kern w:val="0"/>
          <w:sz w:val="28"/>
          <w:szCs w:val="28"/>
          <w:lang w:val="en-US"/>
        </w:rPr>
        <w:t>iO</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«усов» </w:t>
      </w:r>
      <w:r>
        <w:rPr>
          <w:rFonts w:ascii="Times New Roman CYR" w:hAnsi="Times New Roman CYR" w:cs="Times New Roman CYR"/>
          <w:kern w:val="0"/>
          <w:sz w:val="28"/>
          <w:szCs w:val="28"/>
          <w:lang w:val="en-US"/>
        </w:rPr>
        <w:t>SiC</w:t>
      </w:r>
      <w:r>
        <w:rPr>
          <w:rFonts w:ascii="Times New Roman CYR" w:hAnsi="Times New Roman CYR" w:cs="Times New Roman CYR"/>
          <w:kern w:val="0"/>
          <w:sz w:val="28"/>
          <w:szCs w:val="28"/>
        </w:rPr>
        <w:t xml:space="preserve"> повышает прочность от 40 до 100 МПа. Тем не менее, не давая качественного перелома, подобные методы существенно повышают стоимость материалов, которая в упомянутых выше металлургических применениях играет далеко не последнюю роль.</w:t>
      </w:r>
    </w:p>
    <w:p w14:paraId="5DFDBE5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Подавляющее большинство последних работ относится к попыткам соединения тиалита с другими, более прочными и доступными, материалами. Смысл этого подхода заключается в объединении высокой термостойкости тиалита с прочностью других материалов, пусть даже с некоторыми потерями в обоих свойствах [1].</w:t>
      </w:r>
    </w:p>
    <w:p w14:paraId="6A7D1E72"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Объектом исследования курсовой работы является система титанат алюминия - кордиерит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·5</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Кордиерит имеет низкую температуру плавления, и поэтому добавление его к титанату алюминия, возможно, улучшит спекаемость системы. Композиция титанат алюминия - кордиерит еще не достаточно изучена, хотя есть указания, что эти фазы сосуществуют. Необходимо это проверить, и получить хорошо спекаемую композицию с низким коэффициентом термического расширения (КТР).</w:t>
      </w:r>
    </w:p>
    <w:p w14:paraId="5D05F6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1. Аналитический обзор</w:t>
      </w:r>
    </w:p>
    <w:p w14:paraId="48D7D6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B4BDF0A" w14:textId="77777777" w:rsidR="00000000" w:rsidRDefault="00000000">
      <w:pPr>
        <w:widowControl w:val="0"/>
        <w:tabs>
          <w:tab w:val="left" w:pos="420"/>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1.1</w:t>
      </w:r>
      <w:r>
        <w:rPr>
          <w:rFonts w:ascii="Times New Roman CYR" w:hAnsi="Times New Roman CYR" w:cs="Times New Roman CYR"/>
          <w:b/>
          <w:bCs/>
          <w:kern w:val="0"/>
          <w:sz w:val="28"/>
          <w:szCs w:val="28"/>
        </w:rPr>
        <w:tab/>
        <w:t>Термостойкость огнеупорных материалов</w:t>
      </w:r>
    </w:p>
    <w:p w14:paraId="48B838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5C9D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Термостойкость - это способность хрупких материалов и изделий противостоять термическим нагружениям, возникающим в результате термических (тепловых) воздействий. Термические напряжения в материале возникают в следующих случаях: при нестационарном нагреве (термоударе); в случае стационарного нагрева в неравномерном температурном поле-напряжение первого рода; а так же при нагреве многофазных материалов - напряжения второго рода, обусловленных разницей коэффициентов термческого расширения фаз, входящих в состав материала и объемными изменениями, происходящими в сложном материале при его нагревании [2].</w:t>
      </w:r>
    </w:p>
    <w:p w14:paraId="221AF1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Термостойкость определяется не только свойствами материала, но и условиями термонагружения, т.е. распределением и скоростью изменения температур в теле, а также условиями теплообмена на поверхности тела. По этой причине термостойкость принято оценивать в критериальной форме [3].</w:t>
      </w:r>
    </w:p>
    <w:p w14:paraId="7EAA30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Существует два подхода к проблеме сопротивления термоудару. Первый, в основу которого легли работы Кингери, определяется теорией термоупругости. Критерий термостойкости выражается через совокупность следующих свойств материала:</w:t>
      </w:r>
    </w:p>
    <w:p w14:paraId="6218AB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72FA01"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σ</w:t>
      </w:r>
      <w:r>
        <w:rPr>
          <w:rFonts w:ascii="Times New Roman CYR" w:hAnsi="Times New Roman CYR" w:cs="Times New Roman CYR"/>
          <w:kern w:val="0"/>
          <w:sz w:val="28"/>
          <w:szCs w:val="28"/>
          <w:vertAlign w:val="subscript"/>
        </w:rPr>
        <w:t>раст</w:t>
      </w:r>
      <w:r>
        <w:rPr>
          <w:rFonts w:ascii="Times New Roman" w:hAnsi="Times New Roman" w:cs="Times New Roman"/>
          <w:kern w:val="0"/>
          <w:sz w:val="28"/>
          <w:szCs w:val="28"/>
        </w:rPr>
        <w:t>*(1-μ)/(</w:t>
      </w:r>
      <w:r>
        <w:rPr>
          <w:rFonts w:ascii="Times New Roman CYR" w:hAnsi="Times New Roman CYR" w:cs="Times New Roman CYR"/>
          <w:kern w:val="0"/>
          <w:sz w:val="28"/>
          <w:szCs w:val="28"/>
        </w:rPr>
        <w:t>Е*</w:t>
      </w:r>
      <w:r>
        <w:rPr>
          <w:rFonts w:ascii="Times New Roman" w:hAnsi="Times New Roman" w:cs="Times New Roman"/>
          <w:kern w:val="0"/>
          <w:sz w:val="28"/>
          <w:szCs w:val="28"/>
        </w:rPr>
        <w:t>α)                               (1)</w:t>
      </w:r>
    </w:p>
    <w:p w14:paraId="40EDF5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λ</w:t>
      </w:r>
      <w:r>
        <w:rPr>
          <w:rFonts w:ascii="Times New Roman CYR" w:hAnsi="Times New Roman CYR" w:cs="Times New Roman CYR"/>
          <w:kern w:val="0"/>
          <w:sz w:val="28"/>
          <w:szCs w:val="28"/>
        </w:rPr>
        <w:t xml:space="preserve">                                                 (2)</w:t>
      </w:r>
    </w:p>
    <w:p w14:paraId="03FB49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(3)</w:t>
      </w:r>
    </w:p>
    <w:p w14:paraId="5A3175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7FC6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lang w:val="en-US"/>
        </w:rPr>
        <w:t>σ</w:t>
      </w:r>
      <w:r>
        <w:rPr>
          <w:rFonts w:ascii="Times New Roman CYR" w:hAnsi="Times New Roman CYR" w:cs="Times New Roman CYR"/>
          <w:kern w:val="0"/>
          <w:sz w:val="28"/>
          <w:szCs w:val="28"/>
          <w:vertAlign w:val="subscript"/>
        </w:rPr>
        <w:t xml:space="preserve">раст </w:t>
      </w:r>
      <w:r>
        <w:rPr>
          <w:rFonts w:ascii="Times New Roman CYR" w:hAnsi="Times New Roman CYR" w:cs="Times New Roman CYR"/>
          <w:kern w:val="0"/>
          <w:sz w:val="28"/>
          <w:szCs w:val="28"/>
        </w:rPr>
        <w:t xml:space="preserve"> - предел прочности при растяжении,</w:t>
      </w:r>
    </w:p>
    <w:p w14:paraId="5EFF73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 - модуль Юнга,</w:t>
      </w:r>
    </w:p>
    <w:p w14:paraId="08FBE3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lastRenderedPageBreak/>
        <w:t xml:space="preserve">α - </w:t>
      </w:r>
      <w:r>
        <w:rPr>
          <w:rFonts w:ascii="Times New Roman CYR" w:hAnsi="Times New Roman CYR" w:cs="Times New Roman CYR"/>
          <w:kern w:val="0"/>
          <w:sz w:val="28"/>
          <w:szCs w:val="28"/>
        </w:rPr>
        <w:t>коэффициент термического расширения,</w:t>
      </w:r>
    </w:p>
    <w:p w14:paraId="425B58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 xml:space="preserve">μ - </w:t>
      </w:r>
      <w:r>
        <w:rPr>
          <w:rFonts w:ascii="Times New Roman CYR" w:hAnsi="Times New Roman CYR" w:cs="Times New Roman CYR"/>
          <w:kern w:val="0"/>
          <w:sz w:val="28"/>
          <w:szCs w:val="28"/>
        </w:rPr>
        <w:t>коэффициент Пуансона,</w:t>
      </w:r>
    </w:p>
    <w:p w14:paraId="456652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lang w:val="en-US"/>
        </w:rPr>
        <w:t>λ</w:t>
      </w:r>
      <w:r>
        <w:rPr>
          <w:rFonts w:ascii="Times New Roman CYR" w:hAnsi="Times New Roman CYR" w:cs="Times New Roman CYR"/>
          <w:kern w:val="0"/>
          <w:sz w:val="28"/>
          <w:szCs w:val="28"/>
        </w:rPr>
        <w:t xml:space="preserve"> - коэффициент теплопроводности,</w:t>
      </w:r>
    </w:p>
    <w:p w14:paraId="016A39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 коэффициент температуропроводности.</w:t>
      </w:r>
    </w:p>
    <w:p w14:paraId="631D3D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Критерий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характеризует термостойкость при относительно высоких скоростях теплопередачи между телом и окружающей средой (при критерии Био &gt; 20).</w:t>
      </w:r>
    </w:p>
    <w:p w14:paraId="73DC04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низких скоростях теплопередачи (критерий Био &lt; 20) исползуют критерий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 xml:space="preserve">, а в случае, когда нагрев и охлаждение происходят с постоянной скоростью рассматривается вопрос о максимально допустимой скорости изменения температуры материалад,- критерий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II</w:t>
      </w:r>
      <w:r>
        <w:rPr>
          <w:rFonts w:ascii="Times New Roman CYR" w:hAnsi="Times New Roman CYR" w:cs="Times New Roman CYR"/>
          <w:kern w:val="0"/>
          <w:sz w:val="28"/>
          <w:szCs w:val="28"/>
        </w:rPr>
        <w:t>.</w:t>
      </w:r>
    </w:p>
    <w:p w14:paraId="5A957E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Термостойкость материала повышается с повышением теплопроводности (</w:t>
      </w:r>
      <w:r>
        <w:rPr>
          <w:rFonts w:ascii="Times New Roman" w:hAnsi="Times New Roman" w:cs="Times New Roman"/>
          <w:kern w:val="0"/>
          <w:sz w:val="28"/>
          <w:szCs w:val="28"/>
          <w:lang w:val="en-US"/>
        </w:rPr>
        <w:t>λ</w:t>
      </w:r>
      <w:r>
        <w:rPr>
          <w:rFonts w:ascii="Times New Roman CYR" w:hAnsi="Times New Roman CYR" w:cs="Times New Roman CYR"/>
          <w:kern w:val="0"/>
          <w:sz w:val="28"/>
          <w:szCs w:val="28"/>
        </w:rPr>
        <w:t>) и температуропроводности (а). Эти показатели вводят в критерий термостойкости и получают новые критерии:</w:t>
      </w:r>
    </w:p>
    <w:p w14:paraId="3410E2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6BC20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λ</w:t>
      </w:r>
      <w:r>
        <w:rPr>
          <w:rFonts w:ascii="Times New Roman CYR" w:hAnsi="Times New Roman CYR" w:cs="Times New Roman CYR"/>
          <w:kern w:val="0"/>
          <w:sz w:val="28"/>
          <w:szCs w:val="28"/>
        </w:rPr>
        <w:t xml:space="preserve">                                                   (4)</w:t>
      </w:r>
    </w:p>
    <w:p w14:paraId="7A3E69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rPr>
        <w:t>,                                                  (5)</w:t>
      </w:r>
    </w:p>
    <w:p w14:paraId="47637A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66D4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Кингери предложил оценивать термостойкость разрушающим перепадом температур </w:t>
      </w:r>
      <w:r>
        <w:rPr>
          <w:rFonts w:ascii="Times New Roman" w:hAnsi="Times New Roman" w:cs="Times New Roman"/>
          <w:kern w:val="0"/>
          <w:sz w:val="28"/>
          <w:szCs w:val="28"/>
        </w:rPr>
        <w:t>Δ</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раз</w:t>
      </w:r>
      <w:r>
        <w:rPr>
          <w:rFonts w:ascii="Times New Roman CYR" w:hAnsi="Times New Roman CYR" w:cs="Times New Roman CYR"/>
          <w:kern w:val="0"/>
          <w:sz w:val="28"/>
          <w:szCs w:val="28"/>
        </w:rPr>
        <w:t xml:space="preserve">, который зависит не только от совокупности свойств материала, определяемых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но и от фактора формы тела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 xml:space="preserve">, его характеристического размера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и коэффициента теплоотдачи от среды к поверхности тела к:</w:t>
      </w:r>
    </w:p>
    <w:p w14:paraId="5A02A4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76EC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раз.=</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 xml:space="preserve">                                          (6)</w:t>
      </w:r>
    </w:p>
    <w:p w14:paraId="175834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Δ</w:t>
      </w:r>
      <w:r>
        <w:rPr>
          <w:rFonts w:ascii="Times New Roman CYR" w:hAnsi="Times New Roman CYR" w:cs="Times New Roman CYR"/>
          <w:kern w:val="0"/>
          <w:sz w:val="28"/>
          <w:szCs w:val="28"/>
        </w:rPr>
        <w:t>Т</w:t>
      </w:r>
      <w:r>
        <w:rPr>
          <w:rFonts w:ascii="Times New Roman CYR" w:hAnsi="Times New Roman CYR" w:cs="Times New Roman CYR"/>
          <w:kern w:val="0"/>
          <w:sz w:val="28"/>
          <w:szCs w:val="28"/>
          <w:vertAlign w:val="subscript"/>
        </w:rPr>
        <w:t>раз.=</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 xml:space="preserve">*(1/0,31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*к)                      (7)</w:t>
      </w:r>
    </w:p>
    <w:p w14:paraId="2DDE95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1294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высоких температурах происходит релаксация напряжений и </w:t>
      </w:r>
      <w:r>
        <w:rPr>
          <w:rFonts w:ascii="Times New Roman CYR" w:hAnsi="Times New Roman CYR" w:cs="Times New Roman CYR"/>
          <w:kern w:val="0"/>
          <w:sz w:val="28"/>
          <w:szCs w:val="28"/>
        </w:rPr>
        <w:lastRenderedPageBreak/>
        <w:t>увеличение термической стойкости. При этом различаются два температурных интервала: в первом материал считается идеально хрупким, во втором - материал рассматривается находящимся в вязкоупругом и вязкопластичном состоянии.</w:t>
      </w:r>
    </w:p>
    <w:p w14:paraId="16E7F5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теории термоупругости рассматривались идеализированные тела. Поэтому полученная экспериментально термостойкость удовлетворительно согласуется с расчетной лишь для узкого круга гомогенных материалов.</w:t>
      </w:r>
    </w:p>
    <w:p w14:paraId="5BBF52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Второй подход к проблеме сопротивления термоудару заключается в оценке способности материала сопротивляться распространению разрушающей трещины.</w:t>
      </w:r>
    </w:p>
    <w:p w14:paraId="55D3AF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Трещины, образующиеся в результате термических напряжений, могут оказывать значительное влияние на термостойкость хрупких материалов. Они разбивают материал на отдельные фрагменты, имеющие возможность в некоторой степени сдвигаться относительно друг друга. Это повышает податливость структуры и ослабляет в конечном счете действие термических напряжений, способствуя их релаксации. Микротрещины также позволяют зернам или кристаллам более свободно расширяться, благодаря чему в прилегающих к ним зонах уровень термических микроструктурных напряжений ниже. Характер влияния трещин зависит от их ориентации по отношению к возникающим термическим напряжениям.</w:t>
      </w:r>
    </w:p>
    <w:p w14:paraId="34F74CD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Разрушение материала начинается с зарождения трещины и последующего роста зародившихся или уже имеющихся в материале трещин. Наличие в материале трещин может быть связано с технологией его получения, в частности, для многофазных огнеупорных материалов характерно возникновение трещин при отрыве связки от зерна [2].</w:t>
      </w:r>
    </w:p>
    <w:p w14:paraId="0E4BDA7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Рассматривая разрушение при изгибе балки из хрупкого материала, можно выделить три стадии этого процесса. На первой стадии в материале происходит постепенное накопление энергии, приводящее к зарождению </w:t>
      </w:r>
      <w:r>
        <w:rPr>
          <w:rFonts w:ascii="Times New Roman CYR" w:hAnsi="Times New Roman CYR" w:cs="Times New Roman CYR"/>
          <w:kern w:val="0"/>
          <w:sz w:val="28"/>
          <w:szCs w:val="28"/>
        </w:rPr>
        <w:lastRenderedPageBreak/>
        <w:t>трещин или началу движения имеющейся трещины и дальнейшему контролируемому ее росту. Далее, на следующей стадии, происходит быстрый неконтролируемый рост трещины, на этот процесс расходуется часть запасенной в материале энергии. На заключительном этапе снова наблюдается контролируемый рост трещины вплоть до разрушения образца.</w:t>
      </w:r>
    </w:p>
    <w:p w14:paraId="0F0861C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Впервые характеристики разрушения для сравнительной оценки сопротивления материалов под действием термического удара были использованы Хассельманом, предложившим критерии термостойкости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rPr>
        <w:t>III</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IV</w:t>
      </w:r>
      <w:r>
        <w:rPr>
          <w:rFonts w:ascii="Times New Roman CYR" w:hAnsi="Times New Roman CYR" w:cs="Times New Roman CYR"/>
          <w:kern w:val="0"/>
          <w:sz w:val="28"/>
          <w:szCs w:val="28"/>
        </w:rPr>
        <w:t>[4] .</w:t>
      </w:r>
    </w:p>
    <w:p w14:paraId="4F9B7CE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rPr>
        <w:t>III</w:t>
      </w:r>
      <w:r>
        <w:rPr>
          <w:rFonts w:ascii="Times New Roman CYR" w:hAnsi="Times New Roman CYR" w:cs="Times New Roman CYR"/>
          <w:kern w:val="0"/>
          <w:sz w:val="28"/>
          <w:szCs w:val="28"/>
        </w:rPr>
        <w:t xml:space="preserve"> - представляет собой минимум имеющейся в момент разрыва упругой энергии. Чем выше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 xml:space="preserve"> , тем меньше энергии способен накапливать материал при термическом нагружении и тем меньше, следовательно, будет степень его разрушения.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IV</w:t>
      </w:r>
      <w:r>
        <w:rPr>
          <w:rFonts w:ascii="Times New Roman CYR" w:hAnsi="Times New Roman CYR" w:cs="Times New Roman CYR"/>
          <w:kern w:val="0"/>
          <w:sz w:val="28"/>
          <w:szCs w:val="28"/>
        </w:rPr>
        <w:t xml:space="preserve"> - показывает минимум степени распространения трещины в начале разрыва. Для плоского напряженного состояния:</w:t>
      </w:r>
    </w:p>
    <w:p w14:paraId="1B14C9C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78D6875" w14:textId="77777777" w:rsidR="00000000" w:rsidRDefault="00000000">
      <w:pPr>
        <w:widowControl w:val="0"/>
        <w:shd w:val="clear" w:color="auto" w:fill="FFFFFF"/>
        <w:tabs>
          <w:tab w:val="left" w:pos="8453"/>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III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σ</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(8)</w:t>
      </w:r>
    </w:p>
    <w:p w14:paraId="56ECF478" w14:textId="77777777" w:rsidR="00000000" w:rsidRDefault="00000000">
      <w:pPr>
        <w:widowControl w:val="0"/>
        <w:shd w:val="clear" w:color="auto" w:fill="FFFFFF"/>
        <w:tabs>
          <w:tab w:val="left" w:pos="852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IV</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perscript"/>
        </w:rPr>
        <w:t xml:space="preserve"> </w:t>
      </w:r>
      <w:r>
        <w:rPr>
          <w:rFonts w:ascii="Times New Roman CYR" w:hAnsi="Times New Roman CYR" w:cs="Times New Roman CYR"/>
          <w:kern w:val="0"/>
          <w:sz w:val="28"/>
          <w:szCs w:val="28"/>
        </w:rPr>
        <w:t xml:space="preserve"> у</w:t>
      </w:r>
      <w:r>
        <w:rPr>
          <w:rFonts w:ascii="Times New Roman CYR" w:hAnsi="Times New Roman CYR" w:cs="Times New Roman CYR"/>
          <w:kern w:val="0"/>
          <w:sz w:val="28"/>
          <w:szCs w:val="28"/>
          <w:vertAlign w:val="subscript"/>
        </w:rPr>
        <w:t>эф</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σ</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(9)</w:t>
      </w:r>
    </w:p>
    <w:p w14:paraId="5B6B80A0" w14:textId="77777777" w:rsidR="00000000" w:rsidRDefault="00000000">
      <w:pPr>
        <w:widowControl w:val="0"/>
        <w:shd w:val="clear" w:color="auto" w:fill="FFFFFF"/>
        <w:tabs>
          <w:tab w:val="left" w:pos="852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6325C9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плоской деформации:</w:t>
      </w:r>
    </w:p>
    <w:p w14:paraId="15168D8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40663C" w14:textId="77777777" w:rsidR="00000000" w:rsidRDefault="00000000">
      <w:pPr>
        <w:widowControl w:val="0"/>
        <w:shd w:val="clear" w:color="auto" w:fill="FFFFFF"/>
        <w:tabs>
          <w:tab w:val="left" w:pos="910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III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 xml:space="preserve">/( </w:t>
      </w:r>
      <w:r>
        <w:rPr>
          <w:rFonts w:ascii="Times New Roman" w:hAnsi="Times New Roman" w:cs="Times New Roman"/>
          <w:kern w:val="0"/>
          <w:sz w:val="28"/>
          <w:szCs w:val="28"/>
          <w:lang w:val="en-US"/>
        </w:rPr>
        <w:t>σ</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vertAlign w:val="superscript"/>
        </w:rPr>
        <w:t>2</w:t>
      </w:r>
      <w:r>
        <w:rPr>
          <w:rFonts w:ascii="Times New Roman" w:hAnsi="Times New Roman" w:cs="Times New Roman"/>
          <w:kern w:val="0"/>
          <w:sz w:val="28"/>
          <w:szCs w:val="28"/>
        </w:rPr>
        <w:t xml:space="preserve">*(1-μ)),                   </w:t>
      </w:r>
      <w:r>
        <w:rPr>
          <w:rFonts w:ascii="Times New Roman CYR" w:hAnsi="Times New Roman CYR" w:cs="Times New Roman CYR"/>
          <w:kern w:val="0"/>
          <w:sz w:val="28"/>
          <w:szCs w:val="28"/>
        </w:rPr>
        <w:t xml:space="preserve">          (10)</w:t>
      </w:r>
    </w:p>
    <w:p w14:paraId="4A9EDEBE" w14:textId="77777777" w:rsidR="00000000" w:rsidRDefault="00000000">
      <w:pPr>
        <w:widowControl w:val="0"/>
        <w:shd w:val="clear" w:color="auto" w:fill="FFFFFF"/>
        <w:tabs>
          <w:tab w:val="left" w:pos="9082"/>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IV</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III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y</w:t>
      </w:r>
      <w:r>
        <w:rPr>
          <w:rFonts w:ascii="Times New Roman CYR" w:hAnsi="Times New Roman CYR" w:cs="Times New Roman CYR"/>
          <w:kern w:val="0"/>
          <w:sz w:val="28"/>
          <w:szCs w:val="28"/>
          <w:vertAlign w:val="subscript"/>
        </w:rPr>
        <w:t>эф</w:t>
      </w:r>
      <w:r>
        <w:rPr>
          <w:rFonts w:ascii="Times New Roman CYR" w:hAnsi="Times New Roman CYR" w:cs="Times New Roman CYR"/>
          <w:kern w:val="0"/>
          <w:sz w:val="28"/>
          <w:szCs w:val="28"/>
        </w:rPr>
        <w:t>,        где                       (11)</w:t>
      </w:r>
    </w:p>
    <w:p w14:paraId="4BD3FBC9" w14:textId="77777777" w:rsidR="00000000" w:rsidRDefault="00000000">
      <w:pPr>
        <w:widowControl w:val="0"/>
        <w:shd w:val="clear" w:color="auto" w:fill="FFFFFF"/>
        <w:tabs>
          <w:tab w:val="left" w:pos="9082"/>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6F22E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w:t>
      </w:r>
      <w:r>
        <w:rPr>
          <w:rFonts w:ascii="Times New Roman CYR" w:hAnsi="Times New Roman CYR" w:cs="Times New Roman CYR"/>
          <w:kern w:val="0"/>
          <w:sz w:val="28"/>
          <w:szCs w:val="28"/>
          <w:vertAlign w:val="subscript"/>
        </w:rPr>
        <w:t>эф</w:t>
      </w:r>
      <w:r>
        <w:rPr>
          <w:rFonts w:ascii="Times New Roman CYR" w:hAnsi="Times New Roman CYR" w:cs="Times New Roman CYR"/>
          <w:kern w:val="0"/>
          <w:sz w:val="28"/>
          <w:szCs w:val="28"/>
        </w:rPr>
        <w:t>-эффективная поверхность энергии разрушения.</w:t>
      </w:r>
    </w:p>
    <w:p w14:paraId="289B3D2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Критерий типа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vertAlign w:val="superscript"/>
          <w:lang w:val="en-US"/>
        </w:rPr>
        <w:t>IV</w:t>
      </w:r>
      <w:r>
        <w:rPr>
          <w:rFonts w:ascii="Times New Roman CYR" w:hAnsi="Times New Roman CYR" w:cs="Times New Roman CYR"/>
          <w:kern w:val="0"/>
          <w:sz w:val="28"/>
          <w:szCs w:val="28"/>
        </w:rPr>
        <w:t xml:space="preserve"> относится к материалам с микротрещиноватой структурой. Однако в нем не учитывается зависимость разрушения от формы зерен, их взаимного расположения и свойств фаз, слагающих гетерогенный материал, от которых, как известно, термостойкость существенно зависит.</w:t>
      </w:r>
    </w:p>
    <w:p w14:paraId="6684F7D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На механику разрушения материала существенное влияние оказывает микроструктура материала. Грубая межзеренная пористость оказывает сравнительно малое влияние на критический коэффициент интенсивности напряжений, в основном стремясь понизить его. Межзеренные поры, как правило, не задерживают движение трещины.</w:t>
      </w:r>
    </w:p>
    <w:p w14:paraId="1624358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Сферические поры могли бы задерживать движение трещины посредством ее локального затупления в местах, где трещина пересекает пору.</w:t>
      </w:r>
    </w:p>
    <w:p w14:paraId="0625D6F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характеристики термической стойкости тел с микротрещиноватой структурой обычно определяют характерные перепады температур: </w:t>
      </w:r>
      <w:r>
        <w:rPr>
          <w:rFonts w:ascii="Times New Roman" w:hAnsi="Times New Roman" w:cs="Times New Roman"/>
          <w:kern w:val="0"/>
          <w:sz w:val="28"/>
          <w:szCs w:val="28"/>
          <w:lang w:val="en-US"/>
        </w:rPr>
        <w:t>ΔT</w:t>
      </w:r>
      <w:r>
        <w:rPr>
          <w:rFonts w:ascii="Times New Roman CYR" w:hAnsi="Times New Roman CYR" w:cs="Times New Roman CYR"/>
          <w:kern w:val="0"/>
          <w:sz w:val="28"/>
          <w:szCs w:val="28"/>
          <w:vertAlign w:val="superscript"/>
          <w:lang w:val="en-US"/>
        </w:rPr>
        <w:t>I</w:t>
      </w:r>
      <w:r>
        <w:rPr>
          <w:rFonts w:ascii="Times New Roman CYR" w:hAnsi="Times New Roman CYR" w:cs="Times New Roman CYR"/>
          <w:kern w:val="0"/>
          <w:sz w:val="28"/>
          <w:szCs w:val="28"/>
        </w:rPr>
        <w:t xml:space="preserve"> - перепад температур, необходимый для зарождения трещин, и </w:t>
      </w:r>
      <w:r>
        <w:rPr>
          <w:rFonts w:ascii="Times New Roman" w:hAnsi="Times New Roman" w:cs="Times New Roman"/>
          <w:kern w:val="0"/>
          <w:sz w:val="28"/>
          <w:szCs w:val="28"/>
          <w:lang w:val="en-US"/>
        </w:rPr>
        <w:t>ΔT</w:t>
      </w:r>
      <w:r>
        <w:rPr>
          <w:rFonts w:ascii="Times New Roman CYR" w:hAnsi="Times New Roman CYR" w:cs="Times New Roman CYR"/>
          <w:kern w:val="0"/>
          <w:sz w:val="28"/>
          <w:szCs w:val="28"/>
          <w:vertAlign w:val="superscript"/>
          <w:lang w:val="en-US"/>
        </w:rPr>
        <w:t>II</w:t>
      </w:r>
      <w:r>
        <w:rPr>
          <w:rFonts w:ascii="Times New Roman CYR" w:hAnsi="Times New Roman CYR" w:cs="Times New Roman CYR"/>
          <w:kern w:val="0"/>
          <w:sz w:val="28"/>
          <w:szCs w:val="28"/>
          <w:vertAlign w:val="superscript"/>
        </w:rPr>
        <w:t xml:space="preserve"> </w:t>
      </w:r>
      <w:r>
        <w:rPr>
          <w:rFonts w:ascii="Times New Roman CYR" w:hAnsi="Times New Roman CYR" w:cs="Times New Roman CYR"/>
          <w:kern w:val="0"/>
          <w:sz w:val="28"/>
          <w:szCs w:val="28"/>
        </w:rPr>
        <w:t>- перепад температур, необходимый для распространения трещин.</w:t>
      </w:r>
    </w:p>
    <w:p w14:paraId="74B42BD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способов повышения термостойкости является повышение вязкости разрушения. Вязкость разрушения огнеупорного материала может быть повышена за счет введения в оксидную матрицу в качестве препятствия распространению трещины второй фазы. Если при этом действительно наблюдается торможение трещины, то она стремится изогнуться между частицами, а это повышает напряжение распространения трещины. Предположение о возможности такого явления искривления трещины было впервые выдвинуто Лангом и подтверждено затем с помощью модуляции ультразвука Грином и др.</w:t>
      </w:r>
    </w:p>
    <w:p w14:paraId="3F03228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Разница температурных коэффициентов линейного расширения включения и матрицы приводит к большим термическим напряжениям на межфазной границе, которые возникают при охлаждении после обжига. Разница же модулей сдвига </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 xml:space="preserve"> включения и матрицы приводит к механическим напряжениям на поверхности раздела в результате приложения напряжения. Они могут достигать значительной величины, способствовать повышению термостойкости.</w:t>
      </w:r>
    </w:p>
    <w:p w14:paraId="7650C19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Указывается, что для достижения максимальной термической стойкости </w:t>
      </w:r>
      <w:r>
        <w:rPr>
          <w:rFonts w:ascii="Times New Roman CYR" w:hAnsi="Times New Roman CYR" w:cs="Times New Roman CYR"/>
          <w:kern w:val="0"/>
          <w:sz w:val="28"/>
          <w:szCs w:val="28"/>
        </w:rPr>
        <w:lastRenderedPageBreak/>
        <w:t>должно быть соблюдено следующее условие подбора компонентов:</w:t>
      </w:r>
    </w:p>
    <w:p w14:paraId="1320170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α</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&gt;</w:t>
      </w:r>
      <w:r>
        <w:rPr>
          <w:rFonts w:ascii="Times New Roman" w:hAnsi="Times New Roman" w:cs="Times New Roman"/>
          <w:kern w:val="0"/>
          <w:sz w:val="28"/>
          <w:szCs w:val="28"/>
          <w:lang w:val="en-US"/>
        </w:rPr>
        <w:t>α</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при </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&lt;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511F1DC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w:hAnsi="Times New Roman" w:cs="Times New Roman"/>
          <w:kern w:val="0"/>
          <w:sz w:val="28"/>
          <w:szCs w:val="28"/>
        </w:rPr>
        <w:t>α</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&lt;</w:t>
      </w:r>
      <w:r>
        <w:rPr>
          <w:rFonts w:ascii="Times New Roman CYR" w:hAnsi="Times New Roman CYR" w:cs="Times New Roman CYR"/>
          <w:kern w:val="0"/>
          <w:sz w:val="28"/>
          <w:szCs w:val="28"/>
          <w:lang w:val="en-US"/>
        </w:rPr>
        <w:t>a</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при Е</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&gt;Е</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31C5959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где </w:t>
      </w:r>
      <w:r>
        <w:rPr>
          <w:rFonts w:ascii="Times New Roman" w:hAnsi="Times New Roman" w:cs="Times New Roman"/>
          <w:kern w:val="0"/>
          <w:sz w:val="28"/>
          <w:szCs w:val="28"/>
        </w:rPr>
        <w:t>α</w:t>
      </w:r>
      <w:r>
        <w:rPr>
          <w:rFonts w:ascii="Times New Roman CYR" w:hAnsi="Times New Roman CYR" w:cs="Times New Roman CYR"/>
          <w:kern w:val="0"/>
          <w:sz w:val="28"/>
          <w:szCs w:val="28"/>
          <w:vertAlign w:val="subscript"/>
        </w:rPr>
        <w:t>1</w:t>
      </w:r>
      <w:r>
        <w:rPr>
          <w:rFonts w:ascii="Times New Roman CYR" w:hAnsi="Times New Roman CYR" w:cs="Times New Roman CYR"/>
          <w:kern w:val="0"/>
          <w:sz w:val="28"/>
          <w:szCs w:val="28"/>
        </w:rPr>
        <w:t>,</w:t>
      </w:r>
      <w:r>
        <w:rPr>
          <w:rFonts w:ascii="Times New Roman" w:hAnsi="Times New Roman" w:cs="Times New Roman"/>
          <w:kern w:val="0"/>
          <w:sz w:val="28"/>
          <w:szCs w:val="28"/>
          <w:lang w:val="en-US"/>
        </w:rPr>
        <w:t>α</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коэффициенты термического расширения  первой  и  второй  фазы соответственно;</w:t>
      </w:r>
    </w:p>
    <w:p w14:paraId="04095E5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Ei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-модули Юнга первой и второй фазы соответственно.</w:t>
      </w:r>
    </w:p>
    <w:p w14:paraId="7675BD5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Появлению остаточных напряжений вблизи границ зерен в процессе охлаждения материала способствует также анизотропия физических свойств, и, в частности теплового расширения. Эти напряжения приводят к формированию развитой микротрещиноватой структуры, которая, как уже отмечалось, характеризуется высоким значением вязкости разрушения.</w:t>
      </w:r>
    </w:p>
    <w:p w14:paraId="1DEDD59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Выбор или создание материала с требуемой термостойкостью для данных условий службы представляет собой довольно сложную задачу. Вследствие наличия и сложности взаимодействия множества факторов, воздействующих на процесс термического разрушения твердых тел, единую теорию термостойкости не сформировали [3].</w:t>
      </w:r>
    </w:p>
    <w:p w14:paraId="482744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8C918B"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1.2 Свойства кордиерита</w:t>
      </w:r>
    </w:p>
    <w:p w14:paraId="1CB8399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2873E1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Кордиерит(2</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xml:space="preserve"> 5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 материал с низким температурным коэффициентом линейного расширения, способностью противостоять резким перепадам температур, высокой химической стойкостью, диэлектрическими свойствами. Сочетание высокой термостойкости с диэлектрическими свойствами позволяет использовать кордиеритовые изделия в качестве жаростойких электроизолирующих материалов. Кордиеритовая керамика применяется также в качестве носителей катализаторов для очистки выхлопных газов двигателей внутреннего сгорания, в фильтрах для очистки воды и т.д.</w:t>
      </w:r>
    </w:p>
    <w:p w14:paraId="79669E98"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Физические свойства кордиеритовой керамики имеют следующие </w:t>
      </w:r>
      <w:r>
        <w:rPr>
          <w:rFonts w:ascii="Times New Roman CYR" w:hAnsi="Times New Roman CYR" w:cs="Times New Roman CYR"/>
          <w:kern w:val="0"/>
          <w:sz w:val="28"/>
          <w:szCs w:val="28"/>
        </w:rPr>
        <w:lastRenderedPageBreak/>
        <w:t xml:space="preserve">значения: плотность 1,6 - 2,55 г/см3, ТКЛР (1,97 - 3,56) * 10 </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1/ С,(диапазон температур 20 - 700 °С), прочность при изгибе 55 - 100 МПа, Водопоглощение 4,5 - 15%, пористость 1,2 - 38%, диэлектрическая проницаемость 4,5 - 5,5, термостойкость 850 - 1000 С [5].</w:t>
      </w:r>
    </w:p>
    <w:p w14:paraId="70DF3908"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Кварцеподобный метастабильный твердый раствор состава кордиерита обладает гексагональной элементарной ячейкой (а</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=5,200, с</w:t>
      </w:r>
      <w:r>
        <w:rPr>
          <w:rFonts w:ascii="Times New Roman CYR" w:hAnsi="Times New Roman CYR" w:cs="Times New Roman CYR"/>
          <w:kern w:val="0"/>
          <w:sz w:val="28"/>
          <w:szCs w:val="28"/>
          <w:vertAlign w:val="subscript"/>
        </w:rPr>
        <w:t>0</w:t>
      </w:r>
      <w:r>
        <w:rPr>
          <w:rFonts w:ascii="Times New Roman CYR" w:hAnsi="Times New Roman CYR" w:cs="Times New Roman CYR"/>
          <w:kern w:val="0"/>
          <w:sz w:val="28"/>
          <w:szCs w:val="28"/>
        </w:rPr>
        <w:t>=5,345 А), плотностью 2,59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средним показателем светопреломления 1,550 , т.е. таким же как и у кордиеритового стекла, и двупреломлением 0,009.</w:t>
      </w:r>
    </w:p>
    <w:p w14:paraId="3E9BE60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Тепловое расширение мало, для состава кордиерита коэффициент линейного расширения </w:t>
      </w:r>
      <w:r>
        <w:rPr>
          <w:rFonts w:ascii="Times New Roman" w:hAnsi="Times New Roman" w:cs="Times New Roman"/>
          <w:kern w:val="0"/>
          <w:sz w:val="28"/>
          <w:szCs w:val="28"/>
        </w:rPr>
        <w:t xml:space="preserve">α </w:t>
      </w:r>
      <w:r>
        <w:rPr>
          <w:rFonts w:ascii="Times New Roman CYR" w:hAnsi="Times New Roman CYR" w:cs="Times New Roman CYR"/>
          <w:kern w:val="0"/>
          <w:sz w:val="28"/>
          <w:szCs w:val="28"/>
        </w:rPr>
        <w:t xml:space="preserve">составляет 4,72 *10 </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град </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xml:space="preserve">. Для кордиеритового стекла </w:t>
      </w:r>
      <w:r>
        <w:rPr>
          <w:rFonts w:ascii="Times New Roman" w:hAnsi="Times New Roman" w:cs="Times New Roman"/>
          <w:kern w:val="0"/>
          <w:sz w:val="28"/>
          <w:szCs w:val="28"/>
        </w:rPr>
        <w:t xml:space="preserve">ρ=2,32 </w:t>
      </w:r>
      <w:r>
        <w:rPr>
          <w:rFonts w:ascii="Times New Roman CYR" w:hAnsi="Times New Roman CYR" w:cs="Times New Roman CYR"/>
          <w:kern w:val="0"/>
          <w:sz w:val="28"/>
          <w:szCs w:val="28"/>
        </w:rPr>
        <w:t>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а </w:t>
      </w:r>
      <w:r>
        <w:rPr>
          <w:rFonts w:ascii="Times New Roman" w:hAnsi="Times New Roman" w:cs="Times New Roman"/>
          <w:kern w:val="0"/>
          <w:sz w:val="28"/>
          <w:szCs w:val="28"/>
        </w:rPr>
        <w:t xml:space="preserve">α = 7,0*10 </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град </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w:t>
      </w:r>
    </w:p>
    <w:p w14:paraId="7DD3CF8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Свойства стекла кордиеритового состава изучены. Выше 1573 К метастабильные кварцеподобные твердые растворы быстро и необратимо переходят в равновесные фазы. С понижением температуры скорость данного перехода уменьшается, зависит она также  и от состава. Кварцеподобный  твердый раствор кордиеритового состава (</w:t>
      </w:r>
      <w:r>
        <w:rPr>
          <w:rFonts w:ascii="Times New Roman" w:hAnsi="Times New Roman" w:cs="Times New Roman"/>
          <w:kern w:val="0"/>
          <w:sz w:val="28"/>
          <w:szCs w:val="28"/>
        </w:rPr>
        <w:t xml:space="preserve">μ - </w:t>
      </w:r>
      <w:r>
        <w:rPr>
          <w:rFonts w:ascii="Times New Roman CYR" w:hAnsi="Times New Roman CYR" w:cs="Times New Roman CYR"/>
          <w:kern w:val="0"/>
          <w:sz w:val="28"/>
          <w:szCs w:val="28"/>
        </w:rPr>
        <w:t xml:space="preserve">кордиерит) переходит в </w:t>
      </w:r>
      <w:r>
        <w:rPr>
          <w:rFonts w:ascii="Times New Roman" w:hAnsi="Times New Roman" w:cs="Times New Roman"/>
          <w:kern w:val="0"/>
          <w:sz w:val="28"/>
          <w:szCs w:val="28"/>
        </w:rPr>
        <w:t xml:space="preserve">α - </w:t>
      </w:r>
      <w:r>
        <w:rPr>
          <w:rFonts w:ascii="Times New Roman CYR" w:hAnsi="Times New Roman CYR" w:cs="Times New Roman CYR"/>
          <w:kern w:val="0"/>
          <w:sz w:val="28"/>
          <w:szCs w:val="28"/>
        </w:rPr>
        <w:t>кордиерит при 1283 К меньше, чем за 5 минут, а при 1198 К только через 36 ч.</w:t>
      </w:r>
    </w:p>
    <w:p w14:paraId="41CDC1C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Свойства кордиерита, в связи с его значением для минералогии и техники (низкие коэффициенты теплового расширения, высокие электроизолирующие свойства, детально изучены. Кристаллическая структура кордиерита построена из шестичленных колец, образованных тетраэдрами [(</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Ai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соединенных вершинами. Кольца сочленяются двумя общими атомами кислорода, между которыми образуется большой полый канал. Такие колонны колец соединяются атомами алюминия (находящимися в тетраэдрических позициях) и магния ( в октаэдрических позициях). При искажении колец симметрия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18</w:t>
      </w:r>
      <w:r>
        <w:rPr>
          <w:rFonts w:ascii="Times New Roman CYR" w:hAnsi="Times New Roman CYR" w:cs="Times New Roman CYR"/>
          <w:kern w:val="0"/>
          <w:sz w:val="28"/>
          <w:szCs w:val="28"/>
        </w:rPr>
        <w:t xml:space="preserve"> понижается. Структура кордиерита соответствует формуле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18</w:t>
      </w:r>
      <w:r>
        <w:rPr>
          <w:rFonts w:ascii="Times New Roman CYR" w:hAnsi="Times New Roman CYR" w:cs="Times New Roman CYR"/>
          <w:kern w:val="0"/>
          <w:sz w:val="28"/>
          <w:szCs w:val="28"/>
        </w:rPr>
        <w:t>.</w:t>
      </w:r>
    </w:p>
    <w:p w14:paraId="0D90488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Изучение полиморфизма кордиерита привело к открытию гексагональной его формы - индиалита, в которую переходит ромбический кордиерит при </w:t>
      </w:r>
      <w:r>
        <w:rPr>
          <w:rFonts w:ascii="Times New Roman CYR" w:hAnsi="Times New Roman CYR" w:cs="Times New Roman CYR"/>
          <w:kern w:val="0"/>
          <w:sz w:val="28"/>
          <w:szCs w:val="28"/>
        </w:rPr>
        <w:lastRenderedPageBreak/>
        <w:t xml:space="preserve">нагревании. Обнаружены две ромбические (низко- и высокотемпературные) формы кордиерита и две формы гексагонального индиалита. Из расплава первым кристаллизуется </w:t>
      </w: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индиалит, который при охлаждении медленно переходит в ромбический кордиерит. Высокотемпературный </w:t>
      </w:r>
      <w:r>
        <w:rPr>
          <w:rFonts w:ascii="Times New Roman" w:hAnsi="Times New Roman" w:cs="Times New Roman"/>
          <w:kern w:val="0"/>
          <w:sz w:val="28"/>
          <w:szCs w:val="28"/>
        </w:rPr>
        <w:t>β-</w:t>
      </w:r>
      <w:r>
        <w:rPr>
          <w:rFonts w:ascii="Times New Roman CYR" w:hAnsi="Times New Roman CYR" w:cs="Times New Roman CYR"/>
          <w:kern w:val="0"/>
          <w:sz w:val="28"/>
          <w:szCs w:val="28"/>
        </w:rPr>
        <w:t xml:space="preserve">кордиерит получен в гидротермальных условиях при температуре ниже 1103°К. Детальное изучение изменений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18</w:t>
      </w:r>
      <w:r>
        <w:rPr>
          <w:rFonts w:ascii="Times New Roman CYR" w:hAnsi="Times New Roman CYR" w:cs="Times New Roman CYR"/>
          <w:kern w:val="0"/>
          <w:sz w:val="28"/>
          <w:szCs w:val="28"/>
        </w:rPr>
        <w:t xml:space="preserve"> при нагревании показало, что существуют промежуточные фазы между гексагональным индиалитом и псевдогексагональным (ромбическим) кордиеритом. При высоких температурах кордиерит непрерывно превращается в индиалит, что характерно для превращений типа разупорядочение-упорядочение. Установлено, что упорядочение в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18</w:t>
      </w:r>
      <w:r>
        <w:rPr>
          <w:rFonts w:ascii="Times New Roman CYR" w:hAnsi="Times New Roman CYR" w:cs="Times New Roman CYR"/>
          <w:kern w:val="0"/>
          <w:sz w:val="28"/>
          <w:szCs w:val="28"/>
        </w:rPr>
        <w:t xml:space="preserve"> зависит от температуры.</w:t>
      </w:r>
    </w:p>
    <w:p w14:paraId="733A93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Максимальное упорядочение для образца природного кордиерита наблюдалось при 1373°К и выдержке 1,5 ч. Индиалит в виде </w:t>
      </w:r>
      <w:r>
        <w:rPr>
          <w:rFonts w:ascii="Times New Roman" w:hAnsi="Times New Roman" w:cs="Times New Roman"/>
          <w:kern w:val="0"/>
          <w:sz w:val="28"/>
          <w:szCs w:val="28"/>
        </w:rPr>
        <w:t>β-</w:t>
      </w:r>
      <w:r>
        <w:rPr>
          <w:rFonts w:ascii="Times New Roman CYR" w:hAnsi="Times New Roman CYR" w:cs="Times New Roman CYR"/>
          <w:kern w:val="0"/>
          <w:sz w:val="28"/>
          <w:szCs w:val="28"/>
        </w:rPr>
        <w:t xml:space="preserve">формы образуется ниже 1673 °К, а </w:t>
      </w:r>
      <w:r>
        <w:rPr>
          <w:rFonts w:ascii="Times New Roman" w:hAnsi="Times New Roman" w:cs="Times New Roman"/>
          <w:kern w:val="0"/>
          <w:sz w:val="28"/>
          <w:szCs w:val="28"/>
        </w:rPr>
        <w:t>α-</w:t>
      </w:r>
      <w:r>
        <w:rPr>
          <w:rFonts w:ascii="Times New Roman CYR" w:hAnsi="Times New Roman CYR" w:cs="Times New Roman CYR"/>
          <w:kern w:val="0"/>
          <w:sz w:val="28"/>
          <w:szCs w:val="28"/>
        </w:rPr>
        <w:t xml:space="preserve">индиалит выше этой температуры. Превращение в ромбическую форму связано с частичной аморфизацией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18</w:t>
      </w:r>
      <w:r>
        <w:rPr>
          <w:rFonts w:ascii="Times New Roman CYR" w:hAnsi="Times New Roman CYR" w:cs="Times New Roman CYR"/>
          <w:kern w:val="0"/>
          <w:sz w:val="28"/>
          <w:szCs w:val="28"/>
        </w:rPr>
        <w:t xml:space="preserve">. Для всех указанных процессов характерно незначительное изменение молярного объема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18</w:t>
      </w:r>
      <w:r>
        <w:rPr>
          <w:rFonts w:ascii="Times New Roman CYR" w:hAnsi="Times New Roman CYR" w:cs="Times New Roman CYR"/>
          <w:kern w:val="0"/>
          <w:sz w:val="28"/>
          <w:szCs w:val="28"/>
        </w:rPr>
        <w:t>, что обусловлено «рыхлой» структурой этого соединения, проявляющейся в низкой парциальной плотности кислорода. Последнее вызывает значительные перестройки без изменения объема, но сказывается на изменении величин констант элементарной ячейки.</w:t>
      </w:r>
    </w:p>
    <w:p w14:paraId="292CC0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природном кордиерите констатирован недостаток кислорода по сравнению с формулой. Часть групп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замещается на группы [ОН]</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В кордиерите также могут быть щелочи и другие компоненты. При давлении до 10 кбар в кристаллическую решетку кордиерита входит до 2,75%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О, что сопровождается повышением показателей светопреломления. При лавлении 10 кбар, температуре 1173°К и выдержке 5 ч решетка кордиерита поглощает большие количеста аргона, чем воды. Средний показатель светопреломления кордиерита, насыщенного аргоном, равен 1,547, тогда как на воздухе - только </w:t>
      </w:r>
      <w:r>
        <w:rPr>
          <w:rFonts w:ascii="Times New Roman CYR" w:hAnsi="Times New Roman CYR" w:cs="Times New Roman CYR"/>
          <w:kern w:val="0"/>
          <w:sz w:val="28"/>
          <w:szCs w:val="28"/>
        </w:rPr>
        <w:lastRenderedPageBreak/>
        <w:t>1,523.</w:t>
      </w:r>
    </w:p>
    <w:p w14:paraId="34E952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Атомы кальция, наоборот, из-за слишком большой их величины входят в решетку кордиерита в незначительных количествах.</w:t>
      </w:r>
    </w:p>
    <w:p w14:paraId="75FD40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Кордиерит получен в ХIХ столетии при изучении кристаллизации андезитовой магмы. Установлено, что в смеси окислов первичным продуктом является шпинель </w:t>
      </w:r>
      <w:r>
        <w:rPr>
          <w:rFonts w:ascii="Times New Roman CYR" w:hAnsi="Times New Roman CYR" w:cs="Times New Roman CYR"/>
          <w:kern w:val="0"/>
          <w:sz w:val="28"/>
          <w:szCs w:val="28"/>
          <w:lang w:val="en-US"/>
        </w:rPr>
        <w:t>MgAl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xml:space="preserve">, которая реагирует с кремнеземом до кордиерита. В меньших количествах получается форстерит, образующий кордиерит путем последующих реакций с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w:t>
      </w:r>
    </w:p>
    <w:p w14:paraId="0FA4D8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основной реакции образования кордиерита</w:t>
      </w:r>
    </w:p>
    <w:p w14:paraId="420BA3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38933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MgAl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+5</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18</w:t>
      </w:r>
    </w:p>
    <w:p w14:paraId="51919F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AB0A2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Получено следующее уравнение константы скорости данной реакции</w:t>
      </w:r>
    </w:p>
    <w:p w14:paraId="4563A2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A5E73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К=3,44*10</w:t>
      </w:r>
      <w:r>
        <w:rPr>
          <w:rFonts w:ascii="Times New Roman CYR" w:hAnsi="Times New Roman CYR" w:cs="Times New Roman CYR"/>
          <w:kern w:val="0"/>
          <w:sz w:val="28"/>
          <w:szCs w:val="28"/>
          <w:vertAlign w:val="superscript"/>
        </w:rPr>
        <w:t xml:space="preserve"> 2</w:t>
      </w:r>
      <w:r>
        <w:rPr>
          <w:rFonts w:ascii="Times New Roman CYR" w:hAnsi="Times New Roman CYR" w:cs="Times New Roman CYR"/>
          <w:kern w:val="0"/>
          <w:sz w:val="28"/>
          <w:szCs w:val="28"/>
        </w:rPr>
        <w:t xml:space="preserve">ехр(-38800/ </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Т).</w:t>
      </w:r>
    </w:p>
    <w:p w14:paraId="347B1B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C8E0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Скорость образования кордиерита при 1600°К примерно в 1,6*10</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меньше скорости образования шпинели из окислов (К</w:t>
      </w:r>
      <w:r>
        <w:rPr>
          <w:rFonts w:ascii="Times New Roman CYR" w:hAnsi="Times New Roman CYR" w:cs="Times New Roman CYR"/>
          <w:kern w:val="0"/>
          <w:sz w:val="28"/>
          <w:szCs w:val="28"/>
          <w:vertAlign w:val="subscript"/>
        </w:rPr>
        <w:t>1600</w:t>
      </w:r>
      <w:r>
        <w:rPr>
          <w:rFonts w:ascii="Times New Roman CYR" w:hAnsi="Times New Roman CYR" w:cs="Times New Roman CYR"/>
          <w:kern w:val="0"/>
          <w:sz w:val="28"/>
          <w:szCs w:val="28"/>
        </w:rPr>
        <w:t>=2,12*10</w:t>
      </w:r>
      <w:r>
        <w:rPr>
          <w:rFonts w:ascii="Times New Roman CYR" w:hAnsi="Times New Roman CYR" w:cs="Times New Roman CYR"/>
          <w:kern w:val="0"/>
          <w:sz w:val="28"/>
          <w:szCs w:val="28"/>
          <w:vertAlign w:val="superscript"/>
        </w:rPr>
        <w:t>-10</w:t>
      </w:r>
      <w:r>
        <w:rPr>
          <w:rFonts w:ascii="Times New Roman CYR" w:hAnsi="Times New Roman CYR" w:cs="Times New Roman CYR"/>
          <w:kern w:val="0"/>
          <w:sz w:val="28"/>
          <w:szCs w:val="28"/>
        </w:rPr>
        <w:t>ч</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 Изменение объема (</w:t>
      </w:r>
      <w:r>
        <w:rPr>
          <w:rFonts w:ascii="Times New Roman CYR" w:hAnsi="Times New Roman CYR" w:cs="Times New Roman CYR"/>
          <w:kern w:val="0"/>
          <w:sz w:val="28"/>
          <w:szCs w:val="28"/>
          <w:lang w:val="en-US"/>
        </w:rPr>
        <w:t>Si</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 xml:space="preserve">2 </w:t>
      </w:r>
      <w:r>
        <w:rPr>
          <w:rFonts w:ascii="Times New Roman" w:hAnsi="Times New Roman" w:cs="Times New Roman"/>
          <w:kern w:val="0"/>
          <w:sz w:val="28"/>
          <w:szCs w:val="28"/>
        </w:rPr>
        <w:t>- α-</w:t>
      </w:r>
      <w:r>
        <w:rPr>
          <w:rFonts w:ascii="Times New Roman CYR" w:hAnsi="Times New Roman CYR" w:cs="Times New Roman CYR"/>
          <w:kern w:val="0"/>
          <w:sz w:val="28"/>
          <w:szCs w:val="28"/>
        </w:rPr>
        <w:t>кварц) для указанной реакции составляет  +18,4%. Начало реакции констатировано приблизительно при температурах 1470 - 1670°К выражается уравнением:</w:t>
      </w:r>
    </w:p>
    <w:p w14:paraId="425DD7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26FB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vertAlign w:val="subscript"/>
        </w:rPr>
        <w:t>ср</w:t>
      </w:r>
      <w:r>
        <w:rPr>
          <w:rFonts w:ascii="Times New Roman CYR" w:hAnsi="Times New Roman CYR" w:cs="Times New Roman CYR"/>
          <w:kern w:val="0"/>
          <w:sz w:val="28"/>
          <w:szCs w:val="28"/>
        </w:rPr>
        <w:t>=9,9*10</w:t>
      </w:r>
      <w:r>
        <w:rPr>
          <w:rFonts w:ascii="Times New Roman CYR" w:hAnsi="Times New Roman CYR" w:cs="Times New Roman CYR"/>
          <w:kern w:val="0"/>
          <w:sz w:val="28"/>
          <w:szCs w:val="28"/>
          <w:vertAlign w:val="superscript"/>
        </w:rPr>
        <w:t>9</w:t>
      </w:r>
      <w:r>
        <w:rPr>
          <w:rFonts w:ascii="Times New Roman CYR" w:hAnsi="Times New Roman CYR" w:cs="Times New Roman CYR"/>
          <w:kern w:val="0"/>
          <w:sz w:val="28"/>
          <w:szCs w:val="28"/>
        </w:rPr>
        <w:t xml:space="preserve"> ехр (-67000/</w:t>
      </w:r>
      <w:r>
        <w:rPr>
          <w:rFonts w:ascii="Times New Roman CYR" w:hAnsi="Times New Roman CYR" w:cs="Times New Roman CYR"/>
          <w:kern w:val="0"/>
          <w:sz w:val="28"/>
          <w:szCs w:val="28"/>
          <w:lang w:val="en-US"/>
        </w:rPr>
        <w:t>R</w:t>
      </w:r>
      <w:r>
        <w:rPr>
          <w:rFonts w:ascii="Times New Roman CYR" w:hAnsi="Times New Roman CYR" w:cs="Times New Roman CYR"/>
          <w:kern w:val="0"/>
          <w:sz w:val="28"/>
          <w:szCs w:val="28"/>
        </w:rPr>
        <w:t>Т).</w:t>
      </w:r>
    </w:p>
    <w:p w14:paraId="6396FB6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36A7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 уравнений следует, что энергия активации образования и роста зерен кордиерита в «сухих» смесях велики. Для их понижения исходят из каолина и талька, в которых даже при температурах выше 1273°К еще сохраняется некоторое количество воды, ускоряющей процессы образования кордиерита и </w:t>
      </w:r>
      <w:r>
        <w:rPr>
          <w:rFonts w:ascii="Times New Roman CYR" w:hAnsi="Times New Roman CYR" w:cs="Times New Roman CYR"/>
          <w:kern w:val="0"/>
          <w:sz w:val="28"/>
          <w:szCs w:val="28"/>
        </w:rPr>
        <w:lastRenderedPageBreak/>
        <w:t>рост его зерен.</w:t>
      </w:r>
    </w:p>
    <w:p w14:paraId="75C4F5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плавления кордиерита понижается с увеличением давления в гидроткрмальных условиях. При общем давлении 2 кбар кордиерит плавится с образованием муллита, шпинели и расплава при 1498°К При давлении 5 кбар из него образуется при 1363°К шпинель, сапфирин и расплав, а при 10 кбар и 1233°К кордиерит дает сапфирин и расплав.</w:t>
      </w:r>
    </w:p>
    <w:p w14:paraId="201C4F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«сухих» условиях безводный кордиерит при 10 кбар и 1273 - 1373°К разлагается на энстатит, силлиманит (или муллит) и кварц, а при 8 - 10 кбар и температуре 1473°К и выше из него образуется сапфирин и кварц. Кордиерит при очень высоких давлениях нестабилен.</w:t>
      </w:r>
    </w:p>
    <w:p w14:paraId="791B50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DB186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1.3 Свойства титаната алюминия</w:t>
      </w:r>
    </w:p>
    <w:p w14:paraId="1B450AC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BC485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Титанат алюминия, как и большинство минералов, характеризуется промежуточным ионно-ковалентным типом химической связи. Конфигурация электронов, образующих химическую связь в титанате алюминия, соответствует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lang w:val="en-US"/>
        </w:rPr>
        <w:t>sp</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-гибридизации.</w:t>
      </w:r>
    </w:p>
    <w:p w14:paraId="4C2F303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Химические свойства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представлены в таблице 1[7].</w:t>
      </w:r>
    </w:p>
    <w:p w14:paraId="4959207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40674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1 - Растворимость титаната алюминия в различных кислотах</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05"/>
        <w:gridCol w:w="2388"/>
        <w:gridCol w:w="2217"/>
      </w:tblGrid>
      <w:tr w:rsidR="00000000" w14:paraId="66EF4D1D" w14:textId="77777777">
        <w:tblPrEx>
          <w:tblCellMar>
            <w:top w:w="0" w:type="dxa"/>
            <w:bottom w:w="0" w:type="dxa"/>
          </w:tblCellMar>
        </w:tblPrEx>
        <w:trPr>
          <w:jc w:val="center"/>
        </w:trPr>
        <w:tc>
          <w:tcPr>
            <w:tcW w:w="4605" w:type="dxa"/>
            <w:tcBorders>
              <w:top w:val="single" w:sz="6" w:space="0" w:color="auto"/>
              <w:left w:val="single" w:sz="6" w:space="0" w:color="auto"/>
              <w:bottom w:val="single" w:sz="6" w:space="0" w:color="auto"/>
              <w:right w:val="single" w:sz="6" w:space="0" w:color="auto"/>
            </w:tcBorders>
          </w:tcPr>
          <w:p w14:paraId="70C7D3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Растворитель</w:t>
            </w:r>
          </w:p>
        </w:tc>
        <w:tc>
          <w:tcPr>
            <w:tcW w:w="4605" w:type="dxa"/>
            <w:gridSpan w:val="2"/>
            <w:tcBorders>
              <w:top w:val="single" w:sz="6" w:space="0" w:color="auto"/>
              <w:left w:val="single" w:sz="6" w:space="0" w:color="auto"/>
              <w:bottom w:val="single" w:sz="6" w:space="0" w:color="auto"/>
              <w:right w:val="single" w:sz="6" w:space="0" w:color="auto"/>
            </w:tcBorders>
          </w:tcPr>
          <w:p w14:paraId="3D0AEB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Растворимость,%</w:t>
            </w:r>
          </w:p>
        </w:tc>
      </w:tr>
      <w:tr w:rsidR="00000000" w14:paraId="1AF7E179" w14:textId="77777777">
        <w:tblPrEx>
          <w:tblCellMar>
            <w:top w:w="0" w:type="dxa"/>
            <w:bottom w:w="0" w:type="dxa"/>
          </w:tblCellMar>
        </w:tblPrEx>
        <w:trPr>
          <w:jc w:val="center"/>
        </w:trPr>
        <w:tc>
          <w:tcPr>
            <w:tcW w:w="4605" w:type="dxa"/>
            <w:tcBorders>
              <w:top w:val="single" w:sz="6" w:space="0" w:color="auto"/>
              <w:left w:val="single" w:sz="6" w:space="0" w:color="auto"/>
              <w:bottom w:val="single" w:sz="6" w:space="0" w:color="auto"/>
              <w:right w:val="single" w:sz="6" w:space="0" w:color="auto"/>
            </w:tcBorders>
          </w:tcPr>
          <w:p w14:paraId="056E36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2388" w:type="dxa"/>
            <w:tcBorders>
              <w:top w:val="single" w:sz="6" w:space="0" w:color="auto"/>
              <w:left w:val="single" w:sz="6" w:space="0" w:color="auto"/>
              <w:bottom w:val="single" w:sz="6" w:space="0" w:color="auto"/>
              <w:right w:val="single" w:sz="6" w:space="0" w:color="auto"/>
            </w:tcBorders>
          </w:tcPr>
          <w:p w14:paraId="701DE1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 холоду</w:t>
            </w:r>
          </w:p>
        </w:tc>
        <w:tc>
          <w:tcPr>
            <w:tcW w:w="2217" w:type="dxa"/>
            <w:tcBorders>
              <w:top w:val="single" w:sz="6" w:space="0" w:color="auto"/>
              <w:left w:val="single" w:sz="6" w:space="0" w:color="auto"/>
              <w:bottom w:val="single" w:sz="6" w:space="0" w:color="auto"/>
              <w:right w:val="single" w:sz="6" w:space="0" w:color="auto"/>
            </w:tcBorders>
          </w:tcPr>
          <w:p w14:paraId="454FA1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При 100°С</w:t>
            </w:r>
          </w:p>
        </w:tc>
      </w:tr>
      <w:tr w:rsidR="00000000" w14:paraId="491DF449" w14:textId="77777777">
        <w:tblPrEx>
          <w:tblCellMar>
            <w:top w:w="0" w:type="dxa"/>
            <w:bottom w:w="0" w:type="dxa"/>
          </w:tblCellMar>
        </w:tblPrEx>
        <w:trPr>
          <w:jc w:val="center"/>
        </w:trPr>
        <w:tc>
          <w:tcPr>
            <w:tcW w:w="4605" w:type="dxa"/>
            <w:tcBorders>
              <w:top w:val="single" w:sz="6" w:space="0" w:color="auto"/>
              <w:left w:val="single" w:sz="6" w:space="0" w:color="auto"/>
              <w:bottom w:val="single" w:sz="6" w:space="0" w:color="auto"/>
              <w:right w:val="single" w:sz="6" w:space="0" w:color="auto"/>
            </w:tcBorders>
          </w:tcPr>
          <w:p w14:paraId="3291A5D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Концентрированные кислоты: Н</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rPr>
              <w:t>О</w:t>
            </w:r>
            <w:r>
              <w:rPr>
                <w:rFonts w:ascii="Times New Roman CYR" w:hAnsi="Times New Roman CYR" w:cs="Times New Roman CYR"/>
                <w:kern w:val="0"/>
                <w:sz w:val="20"/>
                <w:szCs w:val="20"/>
                <w:vertAlign w:val="subscript"/>
              </w:rPr>
              <w:t>4</w:t>
            </w:r>
            <w:r>
              <w:rPr>
                <w:rFonts w:ascii="Times New Roman CYR" w:hAnsi="Times New Roman CYR" w:cs="Times New Roman CYR"/>
                <w:kern w:val="0"/>
                <w:sz w:val="20"/>
                <w:szCs w:val="20"/>
              </w:rPr>
              <w:t xml:space="preserve"> Н</w:t>
            </w:r>
            <w:r>
              <w:rPr>
                <w:rFonts w:ascii="Times New Roman CYR" w:hAnsi="Times New Roman CYR" w:cs="Times New Roman CYR"/>
                <w:kern w:val="0"/>
                <w:sz w:val="20"/>
                <w:szCs w:val="20"/>
                <w:lang w:val="en-US"/>
              </w:rPr>
              <w:t>Cl</w:t>
            </w:r>
            <w:r>
              <w:rPr>
                <w:rFonts w:ascii="Times New Roman CYR" w:hAnsi="Times New Roman CYR" w:cs="Times New Roman CYR"/>
                <w:kern w:val="0"/>
                <w:sz w:val="20"/>
                <w:szCs w:val="20"/>
              </w:rPr>
              <w:t xml:space="preserve"> </w:t>
            </w:r>
            <w:r>
              <w:rPr>
                <w:rFonts w:ascii="Times New Roman CYR" w:hAnsi="Times New Roman CYR" w:cs="Times New Roman CYR"/>
                <w:kern w:val="0"/>
                <w:sz w:val="20"/>
                <w:szCs w:val="20"/>
                <w:lang w:val="en-US"/>
              </w:rPr>
              <w:t>HNO</w:t>
            </w:r>
            <w:r>
              <w:rPr>
                <w:rFonts w:ascii="Times New Roman CYR" w:hAnsi="Times New Roman CYR" w:cs="Times New Roman CYR"/>
                <w:kern w:val="0"/>
                <w:sz w:val="20"/>
                <w:szCs w:val="20"/>
                <w:vertAlign w:val="subscript"/>
              </w:rPr>
              <w:t>3</w:t>
            </w:r>
          </w:p>
        </w:tc>
        <w:tc>
          <w:tcPr>
            <w:tcW w:w="2388" w:type="dxa"/>
            <w:tcBorders>
              <w:top w:val="single" w:sz="6" w:space="0" w:color="auto"/>
              <w:left w:val="single" w:sz="6" w:space="0" w:color="auto"/>
              <w:bottom w:val="single" w:sz="6" w:space="0" w:color="auto"/>
              <w:right w:val="single" w:sz="6" w:space="0" w:color="auto"/>
            </w:tcBorders>
          </w:tcPr>
          <w:p w14:paraId="1893FC8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1,14 0,92 0,80</w:t>
            </w:r>
          </w:p>
        </w:tc>
        <w:tc>
          <w:tcPr>
            <w:tcW w:w="2217" w:type="dxa"/>
            <w:tcBorders>
              <w:top w:val="single" w:sz="6" w:space="0" w:color="auto"/>
              <w:left w:val="single" w:sz="6" w:space="0" w:color="auto"/>
              <w:bottom w:val="single" w:sz="6" w:space="0" w:color="auto"/>
              <w:right w:val="single" w:sz="6" w:space="0" w:color="auto"/>
            </w:tcBorders>
          </w:tcPr>
          <w:p w14:paraId="004A9A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62,9 2,08 1,84</w:t>
            </w:r>
          </w:p>
        </w:tc>
      </w:tr>
      <w:tr w:rsidR="00000000" w14:paraId="103CCF9B" w14:textId="77777777">
        <w:tblPrEx>
          <w:tblCellMar>
            <w:top w:w="0" w:type="dxa"/>
            <w:bottom w:w="0" w:type="dxa"/>
          </w:tblCellMar>
        </w:tblPrEx>
        <w:trPr>
          <w:jc w:val="center"/>
        </w:trPr>
        <w:tc>
          <w:tcPr>
            <w:tcW w:w="4605" w:type="dxa"/>
            <w:tcBorders>
              <w:top w:val="single" w:sz="6" w:space="0" w:color="auto"/>
              <w:left w:val="single" w:sz="6" w:space="0" w:color="auto"/>
              <w:bottom w:val="single" w:sz="6" w:space="0" w:color="auto"/>
              <w:right w:val="single" w:sz="6" w:space="0" w:color="auto"/>
            </w:tcBorders>
          </w:tcPr>
          <w:p w14:paraId="1D3168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en-US"/>
              </w:rPr>
            </w:pPr>
            <w:r>
              <w:rPr>
                <w:rFonts w:ascii="Times New Roman CYR" w:hAnsi="Times New Roman CYR" w:cs="Times New Roman CYR"/>
                <w:kern w:val="0"/>
                <w:sz w:val="20"/>
                <w:szCs w:val="20"/>
              </w:rPr>
              <w:t>10% раствор Н</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lang w:val="en-US"/>
              </w:rPr>
              <w:t>S</w:t>
            </w:r>
            <w:r>
              <w:rPr>
                <w:rFonts w:ascii="Times New Roman CYR" w:hAnsi="Times New Roman CYR" w:cs="Times New Roman CYR"/>
                <w:kern w:val="0"/>
                <w:sz w:val="20"/>
                <w:szCs w:val="20"/>
              </w:rPr>
              <w:t>О</w:t>
            </w:r>
            <w:r>
              <w:rPr>
                <w:rFonts w:ascii="Times New Roman CYR" w:hAnsi="Times New Roman CYR" w:cs="Times New Roman CYR"/>
                <w:kern w:val="0"/>
                <w:sz w:val="20"/>
                <w:szCs w:val="20"/>
                <w:vertAlign w:val="subscript"/>
              </w:rPr>
              <w:t>4</w:t>
            </w:r>
          </w:p>
        </w:tc>
        <w:tc>
          <w:tcPr>
            <w:tcW w:w="2388" w:type="dxa"/>
            <w:tcBorders>
              <w:top w:val="single" w:sz="6" w:space="0" w:color="auto"/>
              <w:left w:val="single" w:sz="6" w:space="0" w:color="auto"/>
              <w:bottom w:val="single" w:sz="6" w:space="0" w:color="auto"/>
              <w:right w:val="single" w:sz="6" w:space="0" w:color="auto"/>
            </w:tcBorders>
          </w:tcPr>
          <w:p w14:paraId="0B91C8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0,40</w:t>
            </w:r>
          </w:p>
        </w:tc>
        <w:tc>
          <w:tcPr>
            <w:tcW w:w="2217" w:type="dxa"/>
            <w:tcBorders>
              <w:top w:val="single" w:sz="6" w:space="0" w:color="auto"/>
              <w:left w:val="single" w:sz="6" w:space="0" w:color="auto"/>
              <w:bottom w:val="single" w:sz="6" w:space="0" w:color="auto"/>
              <w:right w:val="single" w:sz="6" w:space="0" w:color="auto"/>
            </w:tcBorders>
          </w:tcPr>
          <w:p w14:paraId="72D5D4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1,82</w:t>
            </w:r>
          </w:p>
        </w:tc>
      </w:tr>
      <w:tr w:rsidR="00000000" w14:paraId="5570BD6C" w14:textId="77777777">
        <w:tblPrEx>
          <w:tblCellMar>
            <w:top w:w="0" w:type="dxa"/>
            <w:bottom w:w="0" w:type="dxa"/>
          </w:tblCellMar>
        </w:tblPrEx>
        <w:trPr>
          <w:jc w:val="center"/>
        </w:trPr>
        <w:tc>
          <w:tcPr>
            <w:tcW w:w="4605" w:type="dxa"/>
            <w:tcBorders>
              <w:top w:val="single" w:sz="6" w:space="0" w:color="auto"/>
              <w:left w:val="single" w:sz="6" w:space="0" w:color="auto"/>
              <w:bottom w:val="single" w:sz="6" w:space="0" w:color="auto"/>
              <w:right w:val="single" w:sz="6" w:space="0" w:color="auto"/>
            </w:tcBorders>
          </w:tcPr>
          <w:p w14:paraId="07F528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раствор Н</w:t>
            </w:r>
            <w:r>
              <w:rPr>
                <w:rFonts w:ascii="Times New Roman CYR" w:hAnsi="Times New Roman CYR" w:cs="Times New Roman CYR"/>
                <w:kern w:val="0"/>
                <w:sz w:val="20"/>
                <w:szCs w:val="20"/>
                <w:lang w:val="en-US"/>
              </w:rPr>
              <w:t>Cl</w:t>
            </w:r>
          </w:p>
        </w:tc>
        <w:tc>
          <w:tcPr>
            <w:tcW w:w="2388" w:type="dxa"/>
            <w:tcBorders>
              <w:top w:val="single" w:sz="6" w:space="0" w:color="auto"/>
              <w:left w:val="single" w:sz="6" w:space="0" w:color="auto"/>
              <w:bottom w:val="single" w:sz="6" w:space="0" w:color="auto"/>
              <w:right w:val="single" w:sz="6" w:space="0" w:color="auto"/>
            </w:tcBorders>
          </w:tcPr>
          <w:p w14:paraId="632E02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0,60</w:t>
            </w:r>
          </w:p>
        </w:tc>
        <w:tc>
          <w:tcPr>
            <w:tcW w:w="2217" w:type="dxa"/>
            <w:tcBorders>
              <w:top w:val="single" w:sz="6" w:space="0" w:color="auto"/>
              <w:left w:val="single" w:sz="6" w:space="0" w:color="auto"/>
              <w:bottom w:val="single" w:sz="6" w:space="0" w:color="auto"/>
              <w:right w:val="single" w:sz="6" w:space="0" w:color="auto"/>
            </w:tcBorders>
          </w:tcPr>
          <w:p w14:paraId="772B5B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1,86</w:t>
            </w:r>
          </w:p>
        </w:tc>
      </w:tr>
      <w:tr w:rsidR="00000000" w14:paraId="6646D896" w14:textId="77777777">
        <w:tblPrEx>
          <w:tblCellMar>
            <w:top w:w="0" w:type="dxa"/>
            <w:bottom w:w="0" w:type="dxa"/>
          </w:tblCellMar>
        </w:tblPrEx>
        <w:trPr>
          <w:jc w:val="center"/>
        </w:trPr>
        <w:tc>
          <w:tcPr>
            <w:tcW w:w="4605" w:type="dxa"/>
            <w:tcBorders>
              <w:top w:val="single" w:sz="6" w:space="0" w:color="auto"/>
              <w:left w:val="single" w:sz="6" w:space="0" w:color="auto"/>
              <w:bottom w:val="single" w:sz="6" w:space="0" w:color="auto"/>
              <w:right w:val="single" w:sz="6" w:space="0" w:color="auto"/>
            </w:tcBorders>
          </w:tcPr>
          <w:p w14:paraId="611FCD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 раствор Н</w:t>
            </w:r>
            <w:r>
              <w:rPr>
                <w:rFonts w:ascii="Times New Roman CYR" w:hAnsi="Times New Roman CYR" w:cs="Times New Roman CYR"/>
                <w:kern w:val="0"/>
                <w:sz w:val="20"/>
                <w:szCs w:val="20"/>
                <w:lang w:val="en-US"/>
              </w:rPr>
              <w:t>N</w:t>
            </w:r>
            <w:r>
              <w:rPr>
                <w:rFonts w:ascii="Times New Roman CYR" w:hAnsi="Times New Roman CYR" w:cs="Times New Roman CYR"/>
                <w:kern w:val="0"/>
                <w:sz w:val="20"/>
                <w:szCs w:val="20"/>
              </w:rPr>
              <w:t>О</w:t>
            </w:r>
            <w:r>
              <w:rPr>
                <w:rFonts w:ascii="Times New Roman CYR" w:hAnsi="Times New Roman CYR" w:cs="Times New Roman CYR"/>
                <w:kern w:val="0"/>
                <w:sz w:val="20"/>
                <w:szCs w:val="20"/>
                <w:vertAlign w:val="subscript"/>
              </w:rPr>
              <w:t>3</w:t>
            </w:r>
          </w:p>
        </w:tc>
        <w:tc>
          <w:tcPr>
            <w:tcW w:w="2388" w:type="dxa"/>
            <w:tcBorders>
              <w:top w:val="single" w:sz="6" w:space="0" w:color="auto"/>
              <w:left w:val="single" w:sz="6" w:space="0" w:color="auto"/>
              <w:bottom w:val="single" w:sz="6" w:space="0" w:color="auto"/>
              <w:right w:val="single" w:sz="6" w:space="0" w:color="auto"/>
            </w:tcBorders>
          </w:tcPr>
          <w:p w14:paraId="1C2124F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0,88</w:t>
            </w:r>
          </w:p>
        </w:tc>
        <w:tc>
          <w:tcPr>
            <w:tcW w:w="2217" w:type="dxa"/>
            <w:tcBorders>
              <w:top w:val="single" w:sz="6" w:space="0" w:color="auto"/>
              <w:left w:val="single" w:sz="6" w:space="0" w:color="auto"/>
              <w:bottom w:val="single" w:sz="6" w:space="0" w:color="auto"/>
              <w:right w:val="single" w:sz="6" w:space="0" w:color="auto"/>
            </w:tcBorders>
          </w:tcPr>
          <w:p w14:paraId="3E949C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0,98</w:t>
            </w:r>
          </w:p>
        </w:tc>
      </w:tr>
      <w:tr w:rsidR="00000000" w14:paraId="148639BF" w14:textId="77777777">
        <w:tblPrEx>
          <w:tblCellMar>
            <w:top w:w="0" w:type="dxa"/>
            <w:bottom w:w="0" w:type="dxa"/>
          </w:tblCellMar>
        </w:tblPrEx>
        <w:trPr>
          <w:jc w:val="center"/>
        </w:trPr>
        <w:tc>
          <w:tcPr>
            <w:tcW w:w="4605" w:type="dxa"/>
            <w:tcBorders>
              <w:top w:val="single" w:sz="6" w:space="0" w:color="auto"/>
              <w:left w:val="single" w:sz="6" w:space="0" w:color="auto"/>
              <w:bottom w:val="single" w:sz="6" w:space="0" w:color="auto"/>
              <w:right w:val="single" w:sz="6" w:space="0" w:color="auto"/>
            </w:tcBorders>
          </w:tcPr>
          <w:p w14:paraId="46EFED0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Концентрированная </w:t>
            </w:r>
            <w:r>
              <w:rPr>
                <w:rFonts w:ascii="Times New Roman CYR" w:hAnsi="Times New Roman CYR" w:cs="Times New Roman CYR"/>
                <w:kern w:val="0"/>
                <w:sz w:val="20"/>
                <w:szCs w:val="20"/>
                <w:lang w:val="en-US"/>
              </w:rPr>
              <w:t>Na</w:t>
            </w:r>
            <w:r>
              <w:rPr>
                <w:rFonts w:ascii="Times New Roman CYR" w:hAnsi="Times New Roman CYR" w:cs="Times New Roman CYR"/>
                <w:kern w:val="0"/>
                <w:sz w:val="20"/>
                <w:szCs w:val="20"/>
              </w:rPr>
              <w:t>ОН</w:t>
            </w:r>
          </w:p>
        </w:tc>
        <w:tc>
          <w:tcPr>
            <w:tcW w:w="2388" w:type="dxa"/>
            <w:tcBorders>
              <w:top w:val="single" w:sz="6" w:space="0" w:color="auto"/>
              <w:left w:val="single" w:sz="6" w:space="0" w:color="auto"/>
              <w:bottom w:val="single" w:sz="6" w:space="0" w:color="auto"/>
              <w:right w:val="single" w:sz="6" w:space="0" w:color="auto"/>
            </w:tcBorders>
          </w:tcPr>
          <w:p w14:paraId="7D63F2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0,76</w:t>
            </w:r>
          </w:p>
        </w:tc>
        <w:tc>
          <w:tcPr>
            <w:tcW w:w="2217" w:type="dxa"/>
            <w:tcBorders>
              <w:top w:val="single" w:sz="6" w:space="0" w:color="auto"/>
              <w:left w:val="single" w:sz="6" w:space="0" w:color="auto"/>
              <w:bottom w:val="single" w:sz="6" w:space="0" w:color="auto"/>
              <w:right w:val="single" w:sz="6" w:space="0" w:color="auto"/>
            </w:tcBorders>
          </w:tcPr>
          <w:p w14:paraId="7E4E14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r w:rsidR="00000000" w14:paraId="53C9D56C" w14:textId="77777777">
        <w:tblPrEx>
          <w:tblCellMar>
            <w:top w:w="0" w:type="dxa"/>
            <w:bottom w:w="0" w:type="dxa"/>
          </w:tblCellMar>
        </w:tblPrEx>
        <w:trPr>
          <w:jc w:val="center"/>
        </w:trPr>
        <w:tc>
          <w:tcPr>
            <w:tcW w:w="4605" w:type="dxa"/>
            <w:tcBorders>
              <w:top w:val="single" w:sz="6" w:space="0" w:color="auto"/>
              <w:left w:val="single" w:sz="6" w:space="0" w:color="auto"/>
              <w:bottom w:val="single" w:sz="6" w:space="0" w:color="auto"/>
              <w:right w:val="single" w:sz="6" w:space="0" w:color="auto"/>
            </w:tcBorders>
          </w:tcPr>
          <w:p w14:paraId="7C61FF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10% раствор </w:t>
            </w:r>
            <w:r>
              <w:rPr>
                <w:rFonts w:ascii="Times New Roman CYR" w:hAnsi="Times New Roman CYR" w:cs="Times New Roman CYR"/>
                <w:kern w:val="0"/>
                <w:sz w:val="20"/>
                <w:szCs w:val="20"/>
                <w:lang w:val="en-US"/>
              </w:rPr>
              <w:t>Na</w:t>
            </w:r>
            <w:r>
              <w:rPr>
                <w:rFonts w:ascii="Times New Roman CYR" w:hAnsi="Times New Roman CYR" w:cs="Times New Roman CYR"/>
                <w:kern w:val="0"/>
                <w:sz w:val="20"/>
                <w:szCs w:val="20"/>
              </w:rPr>
              <w:t>ОН</w:t>
            </w:r>
          </w:p>
        </w:tc>
        <w:tc>
          <w:tcPr>
            <w:tcW w:w="2388" w:type="dxa"/>
            <w:tcBorders>
              <w:top w:val="single" w:sz="6" w:space="0" w:color="auto"/>
              <w:left w:val="single" w:sz="6" w:space="0" w:color="auto"/>
              <w:bottom w:val="single" w:sz="6" w:space="0" w:color="auto"/>
              <w:right w:val="single" w:sz="6" w:space="0" w:color="auto"/>
            </w:tcBorders>
          </w:tcPr>
          <w:p w14:paraId="56A3C8A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0,66</w:t>
            </w:r>
          </w:p>
        </w:tc>
        <w:tc>
          <w:tcPr>
            <w:tcW w:w="2217" w:type="dxa"/>
            <w:tcBorders>
              <w:top w:val="single" w:sz="6" w:space="0" w:color="auto"/>
              <w:left w:val="single" w:sz="6" w:space="0" w:color="auto"/>
              <w:bottom w:val="single" w:sz="6" w:space="0" w:color="auto"/>
              <w:right w:val="single" w:sz="6" w:space="0" w:color="auto"/>
            </w:tcBorders>
          </w:tcPr>
          <w:p w14:paraId="645609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0,98</w:t>
            </w:r>
          </w:p>
        </w:tc>
      </w:tr>
    </w:tbl>
    <w:p w14:paraId="010D780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C1D48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Титанат алюминия - это материал с близким к нулю коэффициентом термического расширения.</w:t>
      </w:r>
    </w:p>
    <w:p w14:paraId="3302CC7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Особенностью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является свойство его внутренней структуры - </w:t>
      </w:r>
      <w:r>
        <w:rPr>
          <w:rFonts w:ascii="Times New Roman CYR" w:hAnsi="Times New Roman CYR" w:cs="Times New Roman CYR"/>
          <w:kern w:val="0"/>
          <w:sz w:val="28"/>
          <w:szCs w:val="28"/>
        </w:rPr>
        <w:lastRenderedPageBreak/>
        <w:t>анизотропия теплового расширения вдоль кристаллографических осей.</w:t>
      </w:r>
    </w:p>
    <w:p w14:paraId="0D6A774E" w14:textId="77777777" w:rsidR="00000000" w:rsidRDefault="00000000">
      <w:pPr>
        <w:widowControl w:val="0"/>
        <w:shd w:val="clear" w:color="auto" w:fill="FFFFFF"/>
        <w:tabs>
          <w:tab w:val="left" w:pos="7526"/>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Приводимые данные о величинах к.т.р. титаната алюминия в направлении каждой из кристаллографических осей (табл.2) свидетельствуют о значительном расширении монокристаллов вдоль осей аив, тогда как в направлении оси с имеет место сжатие.</w:t>
      </w:r>
    </w:p>
    <w:p w14:paraId="486F93CC" w14:textId="77777777" w:rsidR="00000000" w:rsidRDefault="00000000">
      <w:pPr>
        <w:widowControl w:val="0"/>
        <w:shd w:val="clear" w:color="auto" w:fill="FFFFFF"/>
        <w:tabs>
          <w:tab w:val="left" w:pos="7526"/>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85D63E" w14:textId="77777777" w:rsidR="00000000" w:rsidRDefault="00000000">
      <w:pPr>
        <w:widowControl w:val="0"/>
        <w:shd w:val="clear" w:color="auto" w:fill="FFFFFF"/>
        <w:tabs>
          <w:tab w:val="left" w:pos="7526"/>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Таблица 2- Коэффициенты термического расширения титаната алюминия вдоль кристаллографических осей, К</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6</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65"/>
        <w:gridCol w:w="2565"/>
        <w:gridCol w:w="2531"/>
      </w:tblGrid>
      <w:tr w:rsidR="00000000" w14:paraId="350BC802" w14:textId="77777777">
        <w:tblPrEx>
          <w:tblCellMar>
            <w:top w:w="0" w:type="dxa"/>
            <w:bottom w:w="0" w:type="dxa"/>
          </w:tblCellMar>
        </w:tblPrEx>
        <w:trPr>
          <w:jc w:val="center"/>
        </w:trPr>
        <w:tc>
          <w:tcPr>
            <w:tcW w:w="7661" w:type="dxa"/>
            <w:gridSpan w:val="3"/>
            <w:tcBorders>
              <w:top w:val="single" w:sz="6" w:space="0" w:color="auto"/>
              <w:left w:val="single" w:sz="6" w:space="0" w:color="auto"/>
              <w:bottom w:val="single" w:sz="6" w:space="0" w:color="auto"/>
              <w:right w:val="single" w:sz="6" w:space="0" w:color="auto"/>
            </w:tcBorders>
          </w:tcPr>
          <w:p w14:paraId="587900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Кристаллографические оси</w:t>
            </w:r>
          </w:p>
        </w:tc>
      </w:tr>
      <w:tr w:rsidR="00000000" w14:paraId="685BC782" w14:textId="77777777">
        <w:tblPrEx>
          <w:tblCellMar>
            <w:top w:w="0" w:type="dxa"/>
            <w:bottom w:w="0" w:type="dxa"/>
          </w:tblCellMar>
        </w:tblPrEx>
        <w:trPr>
          <w:jc w:val="center"/>
        </w:trPr>
        <w:tc>
          <w:tcPr>
            <w:tcW w:w="2565" w:type="dxa"/>
            <w:tcBorders>
              <w:top w:val="single" w:sz="6" w:space="0" w:color="auto"/>
              <w:left w:val="single" w:sz="6" w:space="0" w:color="auto"/>
              <w:bottom w:val="single" w:sz="6" w:space="0" w:color="auto"/>
              <w:right w:val="single" w:sz="6" w:space="0" w:color="auto"/>
            </w:tcBorders>
          </w:tcPr>
          <w:p w14:paraId="2004BB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а</w:t>
            </w:r>
          </w:p>
        </w:tc>
        <w:tc>
          <w:tcPr>
            <w:tcW w:w="2565" w:type="dxa"/>
            <w:tcBorders>
              <w:top w:val="single" w:sz="6" w:space="0" w:color="auto"/>
              <w:left w:val="single" w:sz="6" w:space="0" w:color="auto"/>
              <w:bottom w:val="single" w:sz="6" w:space="0" w:color="auto"/>
              <w:right w:val="single" w:sz="6" w:space="0" w:color="auto"/>
            </w:tcBorders>
          </w:tcPr>
          <w:p w14:paraId="7087241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w:t>
            </w:r>
          </w:p>
        </w:tc>
        <w:tc>
          <w:tcPr>
            <w:tcW w:w="2531" w:type="dxa"/>
            <w:tcBorders>
              <w:top w:val="single" w:sz="6" w:space="0" w:color="auto"/>
              <w:left w:val="single" w:sz="6" w:space="0" w:color="auto"/>
              <w:bottom w:val="single" w:sz="6" w:space="0" w:color="auto"/>
              <w:right w:val="single" w:sz="6" w:space="0" w:color="auto"/>
            </w:tcBorders>
          </w:tcPr>
          <w:p w14:paraId="0B80D44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p>
        </w:tc>
      </w:tr>
      <w:tr w:rsidR="00000000" w14:paraId="7098915E" w14:textId="77777777">
        <w:tblPrEx>
          <w:tblCellMar>
            <w:top w:w="0" w:type="dxa"/>
            <w:bottom w:w="0" w:type="dxa"/>
          </w:tblCellMar>
        </w:tblPrEx>
        <w:trPr>
          <w:jc w:val="center"/>
        </w:trPr>
        <w:tc>
          <w:tcPr>
            <w:tcW w:w="2565" w:type="dxa"/>
            <w:tcBorders>
              <w:top w:val="single" w:sz="6" w:space="0" w:color="auto"/>
              <w:left w:val="single" w:sz="6" w:space="0" w:color="auto"/>
              <w:bottom w:val="single" w:sz="6" w:space="0" w:color="auto"/>
              <w:right w:val="single" w:sz="6" w:space="0" w:color="auto"/>
            </w:tcBorders>
          </w:tcPr>
          <w:p w14:paraId="2401B6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+11,8 +8,3 +11,0 +10,3</w:t>
            </w:r>
          </w:p>
        </w:tc>
        <w:tc>
          <w:tcPr>
            <w:tcW w:w="2565" w:type="dxa"/>
            <w:tcBorders>
              <w:top w:val="single" w:sz="6" w:space="0" w:color="auto"/>
              <w:left w:val="single" w:sz="6" w:space="0" w:color="auto"/>
              <w:bottom w:val="single" w:sz="6" w:space="0" w:color="auto"/>
              <w:right w:val="single" w:sz="6" w:space="0" w:color="auto"/>
            </w:tcBorders>
          </w:tcPr>
          <w:p w14:paraId="70CD76A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+19,4 +19,7 +18,5 +20,1</w:t>
            </w:r>
          </w:p>
        </w:tc>
        <w:tc>
          <w:tcPr>
            <w:tcW w:w="2531" w:type="dxa"/>
            <w:tcBorders>
              <w:top w:val="single" w:sz="6" w:space="0" w:color="auto"/>
              <w:left w:val="single" w:sz="6" w:space="0" w:color="auto"/>
              <w:bottom w:val="single" w:sz="6" w:space="0" w:color="auto"/>
              <w:right w:val="single" w:sz="6" w:space="0" w:color="auto"/>
            </w:tcBorders>
          </w:tcPr>
          <w:p w14:paraId="154E1C1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-2,6 -2,8 -2,5 -2,9</w:t>
            </w:r>
          </w:p>
        </w:tc>
      </w:tr>
    </w:tbl>
    <w:p w14:paraId="280DBC6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00D18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Столь значительная анизотропия теплового расширения монокристаллов приводит к возникновению больших внутренних напряжений в кристаллической решетке при охлаждении материала. Если эти напряжения превосходят предельное значение, то при дальнейшем охлаждении (примерно с 600°С) появляются микротрещины, преимущественно по осям аив. Непосредственное доказательство трещинообразования при 600°С было получено с помощью акустической эмиссии. При повторном разогреве вследствие эффекта "залечивания" трещин расширение во внешней части образца в первый момент не проявляется. Процесс охлаждения сопровождается большой усадкой, приводящей к возникновению внутренних напряжений и повторному растрескиванию материала[8].</w:t>
      </w:r>
    </w:p>
    <w:p w14:paraId="6473A87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При нагреве поликристаллического порошка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до 1400°С происходит спекание частиц, которое обеспечивает изменение ориентации кристаллической решётки. После охлаждения анизотропных кристаллов титаната алюминия возникает сложная система внутренних напряжений. Указанные напряжения влияют на термическое расширение, которое после охлаждения становится термическим сжатием [1].</w:t>
      </w:r>
    </w:p>
    <w:p w14:paraId="44120D4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Вдоль тех направлений в кристалле, которые испытывают сжимающее усилия, развиваются растягивающие напряжения, стремящиеся предотвратить сжатие. Вдоль направлений, подвергающихся слабому сжатию, возникает  напряжения, которые стремятся увеличить сжатие. Таким образом материал ведет себя как будто изотропен и имеет коэффициент термического расширения, равный  9.5*10</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К</w:t>
      </w:r>
      <w:r>
        <w:rPr>
          <w:rFonts w:ascii="Times New Roman CYR" w:hAnsi="Times New Roman CYR" w:cs="Times New Roman CYR"/>
          <w:kern w:val="0"/>
          <w:sz w:val="28"/>
          <w:szCs w:val="28"/>
          <w:vertAlign w:val="superscript"/>
        </w:rPr>
        <w:t>-1</w:t>
      </w:r>
      <w:r>
        <w:rPr>
          <w:rFonts w:ascii="Times New Roman CYR" w:hAnsi="Times New Roman CYR" w:cs="Times New Roman CYR"/>
          <w:kern w:val="0"/>
          <w:sz w:val="28"/>
          <w:szCs w:val="28"/>
        </w:rPr>
        <w:t>.</w:t>
      </w:r>
    </w:p>
    <w:p w14:paraId="0394644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Ситуация меняется, как только напряжения превышают прочность химических связей, и происходит их разрыв. При устранении многих напряжений постепенно возрастает вклад наименьшего (отрицательного) коэффициента  теплового расширения. В результате формируется структура «цепей», состоящих из кристаллов, ориентированных так, что их оси с становятся параллельным направлению цепи. Единственным жестким соединением в структуре в каждом направлении является соединение через цепи в этом направлении. Поэтому коэффициент теплового расширения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 xml:space="preserve">5 </w:t>
      </w:r>
      <w:r>
        <w:rPr>
          <w:rFonts w:ascii="Times New Roman CYR" w:hAnsi="Times New Roman CYR" w:cs="Times New Roman CYR"/>
          <w:kern w:val="0"/>
          <w:sz w:val="28"/>
          <w:szCs w:val="28"/>
        </w:rPr>
        <w:t>из трех к.т.р. вдоль осей а,в и с, а определяется по существу отрицательной величиной коэффициента теплового расширения вдоль оси с.</w:t>
      </w:r>
    </w:p>
    <w:p w14:paraId="6ED747C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Аномалии теплового расширения титаната алюминия объясняются скручиванием цепочек из октаэдров [</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6</w:t>
      </w:r>
      <w:r>
        <w:rPr>
          <w:rFonts w:ascii="Times New Roman CYR" w:hAnsi="Times New Roman CYR" w:cs="Times New Roman CYR"/>
          <w:kern w:val="0"/>
          <w:sz w:val="28"/>
          <w:szCs w:val="28"/>
        </w:rPr>
        <w:t xml:space="preserve">]  в определенном температурном интервале, а также силой связи ионов в решетке. Чстичное замещение </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vertAlign w:val="superscript"/>
        </w:rPr>
        <w:t>4+</w:t>
      </w:r>
      <w:r>
        <w:rPr>
          <w:rFonts w:ascii="Times New Roman CYR" w:hAnsi="Times New Roman CYR" w:cs="Times New Roman CYR"/>
          <w:kern w:val="0"/>
          <w:sz w:val="28"/>
          <w:szCs w:val="28"/>
        </w:rPr>
        <w:t xml:space="preserve">(0,68 нм) в кристаллической решетке аносовита меньшими ионами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(0,57 нм) приводит к усилению связи Ме - О и, как следствие, к понижению теплового расширения. Внедрение в решетку ионов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е</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(0,67нм) или еще больших ионов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(0.76 нм) ослабляет связь между ионами и повышает тепловое расширение [8].</w:t>
      </w:r>
    </w:p>
    <w:p w14:paraId="53E8F37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2 Цели и задачи исследования</w:t>
      </w:r>
    </w:p>
    <w:p w14:paraId="2AD1A8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8362E6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Цель данной работы - получение хорошо спекаемой композиции на основе компонентов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- 2</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5</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с низким коэффициентом термического расширения (КТР) прочной структуры.</w:t>
      </w:r>
    </w:p>
    <w:p w14:paraId="619F7EC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достижения поставленной цели необходимо решить следующие задачи:</w:t>
      </w:r>
    </w:p>
    <w:p w14:paraId="3ECFBC8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Изучить фазовый состав, структуру и свойства титаната алюминия и кордиерита.</w:t>
      </w:r>
    </w:p>
    <w:p w14:paraId="4280B39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Определить термомеханические показатели свойств (механическую прочность, термостойкость) композиции, составленной из предварительно синтезированных компонентов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 xml:space="preserve">5 </w:t>
      </w:r>
      <w:r>
        <w:rPr>
          <w:rFonts w:ascii="Times New Roman CYR" w:hAnsi="Times New Roman CYR" w:cs="Times New Roman CYR"/>
          <w:kern w:val="0"/>
          <w:sz w:val="28"/>
          <w:szCs w:val="28"/>
        </w:rPr>
        <w:t xml:space="preserve"> и 2</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5</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p>
    <w:p w14:paraId="5E7700F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Дать теоретическую и экспериментальную оценку термостойкости и прочности используемой системы.</w:t>
      </w:r>
    </w:p>
    <w:p w14:paraId="166E1F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3 Экспериментальная часть</w:t>
      </w:r>
    </w:p>
    <w:p w14:paraId="19BF8F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4FF1C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3.1 Синтез кордиерита</w:t>
      </w:r>
    </w:p>
    <w:p w14:paraId="29F826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FAC8D6"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данном этапе работы произведен синтез кордиерита.</w:t>
      </w:r>
    </w:p>
    <w:p w14:paraId="42F7990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изготовления кордиерита использовалось следующее сырье:</w:t>
      </w:r>
    </w:p>
    <w:p w14:paraId="2FB7635C"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каолин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(п.п.п. 17 %)</w:t>
      </w:r>
    </w:p>
    <w:p w14:paraId="296B9FE2"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кремниевая кислота (</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(влажность 20%)</w:t>
      </w:r>
    </w:p>
    <w:p w14:paraId="20E16451"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MgCO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(п.п.п. 57%)</w:t>
      </w:r>
    </w:p>
    <w:p w14:paraId="01D22848"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Состав шихты рассчитывался таким образом, чтобы соотношение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xml:space="preserve">и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соответствовало формуле кордиерита (2</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xml:space="preserve"> 5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7660161D"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Соотношение компонентов:</w:t>
      </w:r>
    </w:p>
    <w:p w14:paraId="5F3D4D1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каолин 67,2 мас.%;</w:t>
      </w:r>
    </w:p>
    <w:p w14:paraId="4DC2AA18"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кремниевая кислота 9,4 мас. %;</w:t>
      </w:r>
    </w:p>
    <w:p w14:paraId="40042C8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MgCO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23,4 мас.%.</w:t>
      </w:r>
    </w:p>
    <w:p w14:paraId="7B2D917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Синтез кордиерита состоял из следующих этапов:</w:t>
      </w:r>
    </w:p>
    <w:p w14:paraId="1E3221D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Смешение компонентов в данных соотношениях;</w:t>
      </w:r>
    </w:p>
    <w:p w14:paraId="044974D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Изготовление образцов цилиндрической формы диаметром 25 мм, высотой 30 мм. Давление прессования 25 кг/см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w:t>
      </w:r>
    </w:p>
    <w:p w14:paraId="11147BB5"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Обжиг при температуре 1350 </w:t>
      </w:r>
      <w:r>
        <w:rPr>
          <w:rFonts w:ascii="Times New Roman CYR" w:hAnsi="Times New Roman CYR" w:cs="Times New Roman CYR"/>
          <w:kern w:val="0"/>
          <w:sz w:val="28"/>
          <w:szCs w:val="28"/>
          <w:vertAlign w:val="superscript"/>
        </w:rPr>
        <w:t>о</w:t>
      </w:r>
      <w:r>
        <w:rPr>
          <w:rFonts w:ascii="Times New Roman CYR" w:hAnsi="Times New Roman CYR" w:cs="Times New Roman CYR"/>
          <w:kern w:val="0"/>
          <w:sz w:val="28"/>
          <w:szCs w:val="28"/>
        </w:rPr>
        <w:t>С ;</w:t>
      </w:r>
    </w:p>
    <w:p w14:paraId="59DA7E2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Разрушение образцов, измельчение, просев через сито № 07;</w:t>
      </w:r>
    </w:p>
    <w:p w14:paraId="2E27AA17"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Помол в шаровой мельнице (соотношение материал-шары 1:4)</w:t>
      </w:r>
    </w:p>
    <w:p w14:paraId="42B5061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Далее планируется из полученного порошка изготовить образцы, на которых провести испытания на водопоглощение, КТР, механические свойства.</w:t>
      </w:r>
    </w:p>
    <w:p w14:paraId="35B7F3CE"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Произведен рентгенофазовый анализ, по результатам которого можно сказать, что синтез прошел успешно. Выход кордиерита по расчетам составляет 91 %, также присутствуют фазы форстерит (7,5%) и корунд (2,5 %).</w:t>
      </w:r>
    </w:p>
    <w:p w14:paraId="6D10EFF0"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3.2 Синтез титаната алюминия</w:t>
      </w:r>
    </w:p>
    <w:p w14:paraId="3DD1BC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324027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синтеза титаната алюминия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5</w:t>
      </w:r>
      <w:r>
        <w:rPr>
          <w:rFonts w:ascii="Times New Roman CYR" w:hAnsi="Times New Roman CYR" w:cs="Times New Roman CYR"/>
          <w:kern w:val="0"/>
          <w:sz w:val="28"/>
          <w:szCs w:val="28"/>
        </w:rPr>
        <w:t xml:space="preserve"> использовались следующие компоненты:</w:t>
      </w:r>
    </w:p>
    <w:p w14:paraId="623E9765" w14:textId="77777777" w:rsidR="00000000" w:rsidRDefault="00000000">
      <w:pPr>
        <w:widowControl w:val="0"/>
        <w:tabs>
          <w:tab w:val="left" w:pos="79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А</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(ОН)</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«ЧДА» (ППП 36,5%)                                          60,7% масс</w:t>
      </w:r>
    </w:p>
    <w:p w14:paraId="1642FA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2)  </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Титан(I</w:t>
      </w:r>
      <w:r>
        <w:rPr>
          <w:rFonts w:ascii="Times New Roman CYR" w:hAnsi="Times New Roman CYR" w:cs="Times New Roman CYR"/>
          <w:kern w:val="0"/>
          <w:sz w:val="28"/>
          <w:szCs w:val="28"/>
          <w:lang w:val="en-US"/>
        </w:rPr>
        <w:t>V</w:t>
      </w:r>
      <w:r>
        <w:rPr>
          <w:rFonts w:ascii="Times New Roman CYR" w:hAnsi="Times New Roman CYR" w:cs="Times New Roman CYR"/>
          <w:kern w:val="0"/>
          <w:sz w:val="28"/>
          <w:szCs w:val="28"/>
        </w:rPr>
        <w:t>) окись ОСЧ                                                39,3% масс</w:t>
      </w:r>
    </w:p>
    <w:p w14:paraId="228ED1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Магний уксуснокислый «ЧДА»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COO</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4Н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1,5% сверх 100%</w:t>
      </w:r>
    </w:p>
    <w:p w14:paraId="5C13EF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Смесь А</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rPr>
        <w:t>(ОН)</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xml:space="preserve">и </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 xml:space="preserve"> вместе со стабилизирующей добавкой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в виде водорастворимой соли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COO</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4</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 xml:space="preserve"> подвергали совместному помолу в вибрационной мельнице 6 часов при соотношении материал: вода: шары - 1:4:4.</w:t>
      </w:r>
    </w:p>
    <w:p w14:paraId="03DFAF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Затем обезвоживали суспензию, упаривая на водяной бане, брикетировали, сушили и обжигали в электрической печи </w:t>
      </w:r>
      <w:r>
        <w:rPr>
          <w:rFonts w:ascii="Times New Roman CYR" w:hAnsi="Times New Roman CYR" w:cs="Times New Roman CYR"/>
          <w:kern w:val="0"/>
          <w:sz w:val="28"/>
          <w:szCs w:val="28"/>
          <w:lang w:val="en-US"/>
        </w:rPr>
        <w:t>NABERTERM</w:t>
      </w:r>
      <w:r>
        <w:rPr>
          <w:rFonts w:ascii="Times New Roman CYR" w:hAnsi="Times New Roman CYR" w:cs="Times New Roman CYR"/>
          <w:kern w:val="0"/>
          <w:sz w:val="28"/>
          <w:szCs w:val="28"/>
        </w:rPr>
        <w:t xml:space="preserve">  при температуре 1600 °С с выдержкой 1 час. Бриткеты дробили, материал подвергали тонкому измельчению в вибрационной мельнице в течение 6 часов. После чего процесс синтеза  и помола повторяли.</w:t>
      </w:r>
    </w:p>
    <w:p w14:paraId="376606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Далее нужно будет произвести рентгенофазовый анализ, по результатам которого можно будет судить о результатах синтеза.</w:t>
      </w:r>
    </w:p>
    <w:p w14:paraId="601B28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Выводы</w:t>
      </w:r>
    </w:p>
    <w:p w14:paraId="0CE65C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C7799BA"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Анализ литературных данных показал, что фазы системы титанат алюминия - кордиерит сосуществуют.</w:t>
      </w:r>
    </w:p>
    <w:p w14:paraId="13515EBF"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На данном этапе работы произведено получение компонентов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 xml:space="preserve">5 </w:t>
      </w:r>
      <w:r>
        <w:rPr>
          <w:rFonts w:ascii="Times New Roman CYR" w:hAnsi="Times New Roman CYR" w:cs="Times New Roman CYR"/>
          <w:kern w:val="0"/>
          <w:sz w:val="28"/>
          <w:szCs w:val="28"/>
        </w:rPr>
        <w:t xml:space="preserve"> и 2</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 xml:space="preserve">3 </w:t>
      </w:r>
      <w:r>
        <w:rPr>
          <w:rFonts w:ascii="Times New Roman CYR" w:hAnsi="Times New Roman CYR" w:cs="Times New Roman CYR"/>
          <w:kern w:val="0"/>
          <w:sz w:val="28"/>
          <w:szCs w:val="28"/>
        </w:rPr>
        <w:t xml:space="preserve"> 5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рентгено-фазовый анализ показал, что синтез прошел успешно.</w:t>
      </w:r>
    </w:p>
    <w:p w14:paraId="33AC87B3"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 Далее нужно будет определить оптимальный состав, термомеханические показатели свойств (механическую прочность, термостойкость) композиции, составленной из предварительно синтезированных компонентов </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TiO</w:t>
      </w:r>
      <w:r>
        <w:rPr>
          <w:rFonts w:ascii="Times New Roman CYR" w:hAnsi="Times New Roman CYR" w:cs="Times New Roman CYR"/>
          <w:kern w:val="0"/>
          <w:sz w:val="28"/>
          <w:szCs w:val="28"/>
          <w:vertAlign w:val="subscript"/>
        </w:rPr>
        <w:t xml:space="preserve">5 </w:t>
      </w:r>
      <w:r>
        <w:rPr>
          <w:rFonts w:ascii="Times New Roman CYR" w:hAnsi="Times New Roman CYR" w:cs="Times New Roman CYR"/>
          <w:kern w:val="0"/>
          <w:sz w:val="28"/>
          <w:szCs w:val="28"/>
        </w:rPr>
        <w:t xml:space="preserve"> и 2</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2</w:t>
      </w:r>
      <w:r>
        <w:rPr>
          <w:rFonts w:ascii="Times New Roman CYR" w:hAnsi="Times New Roman CYR" w:cs="Times New Roman CYR"/>
          <w:kern w:val="0"/>
          <w:sz w:val="28"/>
          <w:szCs w:val="28"/>
          <w:lang w:val="en-US"/>
        </w:rPr>
        <w:t>Al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5</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дать теоретическую и экспериментальную оценку термостойкости и прочности используемой системы.</w:t>
      </w:r>
    </w:p>
    <w:p w14:paraId="7CDEAE59" w14:textId="77777777" w:rsidR="00000000" w:rsidRDefault="00000000">
      <w:pPr>
        <w:widowControl w:val="0"/>
        <w:tabs>
          <w:tab w:val="left" w:pos="851"/>
        </w:tab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Список литературы</w:t>
      </w:r>
    </w:p>
    <w:p w14:paraId="05D381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25482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И.Ю. Порохов. Тиалит // Огнеупоры и техническая керамика 2005. №1. С 20 - 28.</w:t>
      </w:r>
    </w:p>
    <w:p w14:paraId="174D590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Г.А.Лебедева, И.С. Инина. Исследование возможности применения кианита для получения кордиеритовой керамики // Огнеупоры и техническая керамика 2005. №9. С 40 - 43.</w:t>
      </w:r>
    </w:p>
    <w:p w14:paraId="0D5E4EF9" w14:textId="77777777" w:rsidR="009B3BB5"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А.С. Бережной. Многокомпонентные системы окислов. Изд-во «НАУКА ДУМКА» Киев. 1970.</w:t>
      </w:r>
    </w:p>
    <w:sectPr w:rsidR="009B3BB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DB"/>
    <w:rsid w:val="00314DDB"/>
    <w:rsid w:val="004F036E"/>
    <w:rsid w:val="009B3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F56BF"/>
  <w14:defaultImageDpi w14:val="0"/>
  <w15:docId w15:val="{2397D4F8-5758-4DFF-877D-D5F1AFD8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4202</Words>
  <Characters>23958</Characters>
  <Application>Microsoft Office Word</Application>
  <DocSecurity>0</DocSecurity>
  <Lines>199</Lines>
  <Paragraphs>56</Paragraphs>
  <ScaleCrop>false</ScaleCrop>
  <Company/>
  <LinksUpToDate>false</LinksUpToDate>
  <CharactersWithSpaces>28104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2025-12-12T07:18:00Z</dcterms:created>
  <dcterms:modified xsi:type="dcterms:W3CDTF">2025-12-12T07:18:00Z</dcterms:modified>
</cp:coreProperties>
</file>