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B0EC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lang w:val="uk-UA"/>
        </w:rPr>
      </w:pPr>
    </w:p>
    <w:p w14:paraId="05A3CE2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lang w:val="uk-UA"/>
        </w:rPr>
      </w:pPr>
    </w:p>
    <w:p w14:paraId="7828756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lang w:val="uk-UA"/>
        </w:rPr>
      </w:pPr>
    </w:p>
    <w:p w14:paraId="432DA67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lang w:val="uk-UA"/>
        </w:rPr>
      </w:pPr>
    </w:p>
    <w:p w14:paraId="49583BB6"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lang w:val="uk-UA"/>
        </w:rPr>
      </w:pPr>
    </w:p>
    <w:p w14:paraId="58F7811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lang w:val="uk-UA"/>
        </w:rPr>
      </w:pPr>
    </w:p>
    <w:p w14:paraId="2A20569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lang w:val="uk-UA"/>
        </w:rPr>
      </w:pPr>
    </w:p>
    <w:p w14:paraId="35A7267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lang w:val="uk-UA"/>
        </w:rPr>
      </w:pPr>
    </w:p>
    <w:p w14:paraId="687B78D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lang w:val="uk-UA"/>
        </w:rPr>
      </w:pPr>
    </w:p>
    <w:p w14:paraId="63D8F47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lang w:val="uk-UA"/>
        </w:rPr>
      </w:pPr>
    </w:p>
    <w:p w14:paraId="1526E02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lang w:val="uk-UA"/>
        </w:rPr>
      </w:pPr>
    </w:p>
    <w:p w14:paraId="0F71319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lang w:val="uk-UA"/>
        </w:rPr>
      </w:pPr>
    </w:p>
    <w:p w14:paraId="04888BB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lang w:val="uk-UA"/>
        </w:rPr>
      </w:pPr>
    </w:p>
    <w:p w14:paraId="056553E9" w14:textId="77777777" w:rsidR="00000000" w:rsidRDefault="00000000">
      <w:pPr>
        <w:widowControl w:val="0"/>
        <w:autoSpaceDE w:val="0"/>
        <w:autoSpaceDN w:val="0"/>
        <w:adjustRightInd w:val="0"/>
        <w:spacing w:after="0" w:line="360" w:lineRule="auto"/>
        <w:jc w:val="center"/>
        <w:rPr>
          <w:rFonts w:ascii="Times New Roman CYR" w:hAnsi="Times New Roman CYR" w:cs="Times New Roman CYR"/>
          <w:b/>
          <w:bCs/>
          <w:color w:val="000000"/>
          <w:kern w:val="0"/>
          <w:sz w:val="28"/>
          <w:szCs w:val="28"/>
          <w:lang w:val="uk-UA"/>
        </w:rPr>
      </w:pPr>
      <w:r>
        <w:rPr>
          <w:rFonts w:ascii="Times New Roman CYR" w:hAnsi="Times New Roman CYR" w:cs="Times New Roman CYR"/>
          <w:b/>
          <w:bCs/>
          <w:color w:val="000000"/>
          <w:kern w:val="0"/>
          <w:sz w:val="28"/>
          <w:szCs w:val="28"/>
          <w:lang w:val="uk-UA"/>
        </w:rPr>
        <w:t>Автоматизація процесу прекристалізації фумарової кислоти</w:t>
      </w:r>
    </w:p>
    <w:p w14:paraId="1B50D65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lang w:val="uk-UA"/>
        </w:rPr>
      </w:pPr>
    </w:p>
    <w:p w14:paraId="073C2A3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lang w:val="uk-UA"/>
        </w:rPr>
      </w:pPr>
      <w:r>
        <w:rPr>
          <w:rFonts w:ascii="Times New Roman CYR" w:hAnsi="Times New Roman CYR" w:cs="Times New Roman CYR"/>
          <w:color w:val="000000"/>
          <w:kern w:val="0"/>
          <w:sz w:val="28"/>
          <w:szCs w:val="28"/>
          <w:lang w:val="uk-UA"/>
        </w:rPr>
        <w:br w:type="page"/>
      </w:r>
      <w:r>
        <w:rPr>
          <w:rFonts w:ascii="Times New Roman CYR" w:hAnsi="Times New Roman CYR" w:cs="Times New Roman CYR"/>
          <w:b/>
          <w:bCs/>
          <w:color w:val="000000"/>
          <w:kern w:val="0"/>
          <w:sz w:val="28"/>
          <w:szCs w:val="28"/>
          <w:lang w:val="uk-UA"/>
        </w:rPr>
        <w:lastRenderedPageBreak/>
        <w:t>Вступ</w:t>
      </w:r>
    </w:p>
    <w:p w14:paraId="2A2B5811"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lang w:val="uk-UA"/>
        </w:rPr>
      </w:pPr>
    </w:p>
    <w:p w14:paraId="5BDE5BD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lang w:val="uk-UA"/>
        </w:rPr>
      </w:pPr>
      <w:r>
        <w:rPr>
          <w:rFonts w:ascii="Times New Roman CYR" w:hAnsi="Times New Roman CYR" w:cs="Times New Roman CYR"/>
          <w:color w:val="000000"/>
          <w:kern w:val="0"/>
          <w:sz w:val="28"/>
          <w:szCs w:val="28"/>
          <w:lang w:val="uk-UA"/>
        </w:rPr>
        <w:t>Складність і висока швидкість протікання технологічних процесів у хімічній промисловості, їх чутливість до порушень режиму, а також вибухо - та пожежонебезпечність і шкідливість умов роботи спричиняють підвищену увагу до питань автоматизації хіміко-технологічних процесів. Автоматичні контроль та керування технологічними процесами забезпечують високу якість продукції, раціональне використання сировини та енергії, подовження термінів міжремонтного пробігу устаткування, зменшення чисельності технічного персоналу.</w:t>
      </w:r>
    </w:p>
    <w:p w14:paraId="7C7634D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lang w:val="uk-UA"/>
        </w:rPr>
      </w:pPr>
    </w:p>
    <w:p w14:paraId="5DD7532F" w14:textId="77777777" w:rsidR="00000000" w:rsidRDefault="00000000">
      <w:pPr>
        <w:widowControl w:val="0"/>
        <w:tabs>
          <w:tab w:val="left" w:pos="900"/>
        </w:tabs>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lang w:val="uk-UA"/>
        </w:rPr>
      </w:pPr>
      <w:r>
        <w:rPr>
          <w:rFonts w:ascii="Times New Roman CYR" w:hAnsi="Times New Roman CYR" w:cs="Times New Roman CYR"/>
          <w:b/>
          <w:bCs/>
          <w:color w:val="000000"/>
          <w:kern w:val="0"/>
          <w:sz w:val="28"/>
          <w:szCs w:val="28"/>
          <w:lang w:val="uk-UA"/>
        </w:rPr>
        <w:t>1.</w:t>
      </w:r>
      <w:r>
        <w:rPr>
          <w:rFonts w:ascii="Times New Roman CYR" w:hAnsi="Times New Roman CYR" w:cs="Times New Roman CYR"/>
          <w:b/>
          <w:bCs/>
          <w:color w:val="000000"/>
          <w:kern w:val="0"/>
          <w:sz w:val="28"/>
          <w:szCs w:val="28"/>
          <w:lang w:val="uk-UA"/>
        </w:rPr>
        <w:tab/>
      </w:r>
      <w:r>
        <w:rPr>
          <w:rFonts w:ascii="Times New Roman CYR" w:hAnsi="Times New Roman CYR" w:cs="Times New Roman CYR"/>
          <w:b/>
          <w:bCs/>
          <w:color w:val="000000"/>
          <w:kern w:val="0"/>
          <w:sz w:val="28"/>
          <w:szCs w:val="28"/>
          <w:lang w:val="uk-UA"/>
        </w:rPr>
        <w:br w:type="page"/>
      </w:r>
      <w:r>
        <w:rPr>
          <w:rFonts w:ascii="Times New Roman CYR" w:hAnsi="Times New Roman CYR" w:cs="Times New Roman CYR"/>
          <w:b/>
          <w:bCs/>
          <w:color w:val="000000"/>
          <w:kern w:val="0"/>
          <w:sz w:val="28"/>
          <w:szCs w:val="28"/>
          <w:lang w:val="uk-UA"/>
        </w:rPr>
        <w:lastRenderedPageBreak/>
        <w:t>Опис технологічної схеми процесу</w:t>
      </w:r>
    </w:p>
    <w:p w14:paraId="289F1BC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lang w:val="uk-UA"/>
        </w:rPr>
      </w:pPr>
    </w:p>
    <w:p w14:paraId="7AFA464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lang w:val="uk-UA"/>
        </w:rPr>
      </w:pPr>
      <w:r>
        <w:rPr>
          <w:rFonts w:ascii="Times New Roman CYR" w:hAnsi="Times New Roman CYR" w:cs="Times New Roman CYR"/>
          <w:color w:val="000000"/>
          <w:kern w:val="0"/>
          <w:sz w:val="28"/>
          <w:szCs w:val="28"/>
          <w:lang w:val="uk-UA"/>
        </w:rPr>
        <w:t>Після синтезу шляхом окиснення фурфуролу хлоратом натрію в присутності каталізатора - п’ятиокису ванадію сира фумарова кислота забруднена кислим малеатом натрію та неорганічними солями, такими як хлорид, хлорат та метаванадат натрію. Вміст основної речовини в сирому продукті 76%. Тому його очищають перекристалізацією з 1н розчину соляної кислоти. 1н соляна кислота готується з продажної 37%-ної HCl шляхом розведення водою у масовому співвідношенні 1:26,4 у реакторі з кислотостійкої сталі. По завершенні синтезу висушену сиру фумарову кислоту за допомогою шнекового постачальника загружають в стальний реактор, що обв’язаний зі збірником 1н соляної кислоти, мірником для останньої та кожухотрубчатим теплообмінником. Перекристалізацію проводять за температури кипіння суміші (</w:t>
      </w:r>
      <w:r>
        <w:rPr>
          <w:rFonts w:ascii="Cambria Math" w:hAnsi="Cambria Math" w:cs="Cambria Math"/>
          <w:color w:val="000000"/>
          <w:kern w:val="0"/>
          <w:sz w:val="28"/>
          <w:szCs w:val="28"/>
          <w:lang w:val="uk-UA"/>
        </w:rPr>
        <w:t>≈</w:t>
      </w:r>
      <w:r>
        <w:rPr>
          <w:rFonts w:ascii="Times New Roman CYR" w:hAnsi="Times New Roman CYR" w:cs="Times New Roman CYR"/>
          <w:color w:val="000000"/>
          <w:kern w:val="0"/>
          <w:sz w:val="28"/>
          <w:szCs w:val="28"/>
          <w:lang w:val="uk-UA"/>
        </w:rPr>
        <w:t>100°С). При цьому продукт очищається від вказаних домішків. Після цього продукт фільтрують на нутч-фільтрі та сушать. Вміст основної речовини в готовому продукті становить 99,5%.</w:t>
      </w:r>
    </w:p>
    <w:p w14:paraId="6E665A6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lang w:val="uk-UA"/>
        </w:rPr>
      </w:pPr>
      <w:r>
        <w:rPr>
          <w:rFonts w:ascii="Times New Roman CYR" w:hAnsi="Times New Roman CYR" w:cs="Times New Roman CYR"/>
          <w:color w:val="000000"/>
          <w:kern w:val="0"/>
          <w:sz w:val="28"/>
          <w:szCs w:val="28"/>
          <w:lang w:val="uk-UA"/>
        </w:rPr>
        <w:t>Вихід складає 43% від теоретичного значення розрахованого на фурфурол.</w:t>
      </w:r>
    </w:p>
    <w:p w14:paraId="67A7B23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lang w:val="uk-UA"/>
        </w:rPr>
      </w:pPr>
    </w:p>
    <w:p w14:paraId="276D68E9" w14:textId="77777777" w:rsidR="00000000" w:rsidRDefault="00000000">
      <w:pPr>
        <w:widowControl w:val="0"/>
        <w:tabs>
          <w:tab w:val="left" w:pos="900"/>
        </w:tabs>
        <w:autoSpaceDE w:val="0"/>
        <w:autoSpaceDN w:val="0"/>
        <w:adjustRightInd w:val="0"/>
        <w:spacing w:after="0" w:line="360" w:lineRule="auto"/>
        <w:ind w:firstLine="709"/>
        <w:jc w:val="both"/>
        <w:rPr>
          <w:rFonts w:ascii="Times New Roman CYR" w:hAnsi="Times New Roman CYR" w:cs="Times New Roman CYR"/>
          <w:color w:val="000000"/>
          <w:kern w:val="0"/>
          <w:sz w:val="28"/>
          <w:szCs w:val="28"/>
          <w:lang w:val="uk-UA"/>
        </w:rPr>
      </w:pPr>
      <w:r>
        <w:rPr>
          <w:rFonts w:ascii="Times New Roman CYR" w:hAnsi="Times New Roman CYR" w:cs="Times New Roman CYR"/>
          <w:b/>
          <w:bCs/>
          <w:color w:val="000000"/>
          <w:kern w:val="0"/>
          <w:sz w:val="28"/>
          <w:szCs w:val="28"/>
          <w:lang w:val="uk-UA"/>
        </w:rPr>
        <w:t>2.</w:t>
      </w:r>
      <w:r>
        <w:rPr>
          <w:rFonts w:ascii="Times New Roman CYR" w:hAnsi="Times New Roman CYR" w:cs="Times New Roman CYR"/>
          <w:b/>
          <w:bCs/>
          <w:color w:val="000000"/>
          <w:kern w:val="0"/>
          <w:sz w:val="28"/>
          <w:szCs w:val="28"/>
          <w:lang w:val="uk-UA"/>
        </w:rPr>
        <w:tab/>
        <w:t>Аналіз технологічного об’єкта</w:t>
      </w:r>
    </w:p>
    <w:p w14:paraId="2B5E8691" w14:textId="77777777" w:rsidR="00000000" w:rsidRDefault="00000000">
      <w:pPr>
        <w:widowControl w:val="0"/>
        <w:autoSpaceDE w:val="0"/>
        <w:autoSpaceDN w:val="0"/>
        <w:adjustRightInd w:val="0"/>
        <w:spacing w:after="0" w:line="360" w:lineRule="auto"/>
        <w:ind w:left="709"/>
        <w:jc w:val="both"/>
        <w:rPr>
          <w:rFonts w:ascii="Times New Roman CYR" w:hAnsi="Times New Roman CYR" w:cs="Times New Roman CYR"/>
          <w:color w:val="000000"/>
          <w:kern w:val="0"/>
          <w:sz w:val="28"/>
          <w:szCs w:val="28"/>
          <w:lang w:val="uk-UA"/>
        </w:rPr>
      </w:pPr>
    </w:p>
    <w:tbl>
      <w:tblPr>
        <w:tblW w:w="0" w:type="auto"/>
        <w:jc w:val="center"/>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574"/>
        <w:gridCol w:w="2397"/>
        <w:gridCol w:w="2229"/>
        <w:gridCol w:w="2213"/>
        <w:gridCol w:w="1884"/>
      </w:tblGrid>
      <w:tr w:rsidR="00000000" w14:paraId="0B38343B" w14:textId="77777777">
        <w:tblPrEx>
          <w:tblCellMar>
            <w:top w:w="0" w:type="dxa"/>
            <w:bottom w:w="0" w:type="dxa"/>
          </w:tblCellMar>
        </w:tblPrEx>
        <w:trPr>
          <w:jc w:val="center"/>
        </w:trPr>
        <w:tc>
          <w:tcPr>
            <w:tcW w:w="574" w:type="dxa"/>
            <w:tcBorders>
              <w:top w:val="single" w:sz="6" w:space="0" w:color="auto"/>
              <w:left w:val="single" w:sz="6" w:space="0" w:color="auto"/>
              <w:bottom w:val="single" w:sz="6" w:space="0" w:color="auto"/>
              <w:right w:val="single" w:sz="6" w:space="0" w:color="auto"/>
            </w:tcBorders>
          </w:tcPr>
          <w:p w14:paraId="645D2CEF"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lang w:val="uk-UA"/>
              </w:rPr>
            </w:pPr>
            <w:r>
              <w:rPr>
                <w:rFonts w:ascii="Times New Roman CYR" w:hAnsi="Times New Roman CYR" w:cs="Times New Roman CYR"/>
                <w:color w:val="000000"/>
                <w:kern w:val="0"/>
                <w:sz w:val="20"/>
                <w:szCs w:val="20"/>
                <w:lang w:val="uk-UA"/>
              </w:rPr>
              <w:t>№ п/п</w:t>
            </w:r>
          </w:p>
        </w:tc>
        <w:tc>
          <w:tcPr>
            <w:tcW w:w="2397" w:type="dxa"/>
            <w:tcBorders>
              <w:top w:val="single" w:sz="6" w:space="0" w:color="auto"/>
              <w:left w:val="single" w:sz="6" w:space="0" w:color="auto"/>
              <w:bottom w:val="single" w:sz="6" w:space="0" w:color="auto"/>
              <w:right w:val="single" w:sz="6" w:space="0" w:color="auto"/>
            </w:tcBorders>
          </w:tcPr>
          <w:p w14:paraId="6591B8DE"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lang w:val="uk-UA"/>
              </w:rPr>
            </w:pPr>
            <w:r>
              <w:rPr>
                <w:rFonts w:ascii="Times New Roman CYR" w:hAnsi="Times New Roman CYR" w:cs="Times New Roman CYR"/>
                <w:color w:val="000000"/>
                <w:kern w:val="0"/>
                <w:sz w:val="20"/>
                <w:szCs w:val="20"/>
                <w:lang w:val="uk-UA"/>
              </w:rPr>
              <w:t>Найменування стадії процесу (технологічний об’єкт), місце заміру параметра</w:t>
            </w:r>
          </w:p>
        </w:tc>
        <w:tc>
          <w:tcPr>
            <w:tcW w:w="2229" w:type="dxa"/>
            <w:tcBorders>
              <w:top w:val="single" w:sz="6" w:space="0" w:color="auto"/>
              <w:left w:val="single" w:sz="6" w:space="0" w:color="auto"/>
              <w:bottom w:val="single" w:sz="6" w:space="0" w:color="auto"/>
              <w:right w:val="single" w:sz="6" w:space="0" w:color="auto"/>
            </w:tcBorders>
          </w:tcPr>
          <w:p w14:paraId="226E1A01"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lang w:val="uk-UA"/>
              </w:rPr>
            </w:pPr>
            <w:r>
              <w:rPr>
                <w:rFonts w:ascii="Times New Roman CYR" w:hAnsi="Times New Roman CYR" w:cs="Times New Roman CYR"/>
                <w:color w:val="000000"/>
                <w:kern w:val="0"/>
                <w:sz w:val="20"/>
                <w:szCs w:val="20"/>
                <w:lang w:val="uk-UA"/>
              </w:rPr>
              <w:t>Найменування параметра, що вимірюється або регулюється</w:t>
            </w:r>
          </w:p>
        </w:tc>
        <w:tc>
          <w:tcPr>
            <w:tcW w:w="2213" w:type="dxa"/>
            <w:tcBorders>
              <w:top w:val="single" w:sz="6" w:space="0" w:color="auto"/>
              <w:left w:val="single" w:sz="6" w:space="0" w:color="auto"/>
              <w:bottom w:val="single" w:sz="6" w:space="0" w:color="auto"/>
              <w:right w:val="single" w:sz="6" w:space="0" w:color="auto"/>
            </w:tcBorders>
          </w:tcPr>
          <w:p w14:paraId="74E86DC7"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lang w:val="uk-UA"/>
              </w:rPr>
            </w:pPr>
            <w:r>
              <w:rPr>
                <w:rFonts w:ascii="Times New Roman CYR" w:hAnsi="Times New Roman CYR" w:cs="Times New Roman CYR"/>
                <w:color w:val="000000"/>
                <w:kern w:val="0"/>
                <w:sz w:val="20"/>
                <w:szCs w:val="20"/>
                <w:lang w:val="uk-UA"/>
              </w:rPr>
              <w:t>Норми технологічного режиму та допустимі відхилення</w:t>
            </w:r>
          </w:p>
        </w:tc>
        <w:tc>
          <w:tcPr>
            <w:tcW w:w="1884" w:type="dxa"/>
            <w:tcBorders>
              <w:top w:val="single" w:sz="6" w:space="0" w:color="auto"/>
              <w:left w:val="single" w:sz="6" w:space="0" w:color="auto"/>
              <w:bottom w:val="single" w:sz="6" w:space="0" w:color="auto"/>
              <w:right w:val="single" w:sz="6" w:space="0" w:color="auto"/>
            </w:tcBorders>
          </w:tcPr>
          <w:p w14:paraId="13C86E32"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lang w:val="uk-UA"/>
              </w:rPr>
            </w:pPr>
            <w:r>
              <w:rPr>
                <w:rFonts w:ascii="Times New Roman CYR" w:hAnsi="Times New Roman CYR" w:cs="Times New Roman CYR"/>
                <w:color w:val="000000"/>
                <w:kern w:val="0"/>
                <w:sz w:val="20"/>
                <w:szCs w:val="20"/>
                <w:lang w:val="uk-UA"/>
              </w:rPr>
              <w:t>Вимоги до схеми автоматизації (вимірювання, регулювання, сигналізація)</w:t>
            </w:r>
          </w:p>
        </w:tc>
      </w:tr>
      <w:tr w:rsidR="00000000" w14:paraId="72592114" w14:textId="77777777">
        <w:tblPrEx>
          <w:tblCellMar>
            <w:top w:w="0" w:type="dxa"/>
            <w:bottom w:w="0" w:type="dxa"/>
          </w:tblCellMar>
        </w:tblPrEx>
        <w:trPr>
          <w:jc w:val="center"/>
        </w:trPr>
        <w:tc>
          <w:tcPr>
            <w:tcW w:w="574" w:type="dxa"/>
            <w:tcBorders>
              <w:top w:val="single" w:sz="6" w:space="0" w:color="auto"/>
              <w:left w:val="single" w:sz="6" w:space="0" w:color="auto"/>
              <w:bottom w:val="single" w:sz="6" w:space="0" w:color="auto"/>
              <w:right w:val="single" w:sz="6" w:space="0" w:color="auto"/>
            </w:tcBorders>
          </w:tcPr>
          <w:p w14:paraId="06387A87"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lang w:val="uk-UA"/>
              </w:rPr>
            </w:pPr>
            <w:r>
              <w:rPr>
                <w:rFonts w:ascii="Times New Roman CYR" w:hAnsi="Times New Roman CYR" w:cs="Times New Roman CYR"/>
                <w:color w:val="000000"/>
                <w:kern w:val="0"/>
                <w:sz w:val="20"/>
                <w:szCs w:val="20"/>
                <w:lang w:val="uk-UA"/>
              </w:rPr>
              <w:t xml:space="preserve">1 </w:t>
            </w:r>
          </w:p>
        </w:tc>
        <w:tc>
          <w:tcPr>
            <w:tcW w:w="2397" w:type="dxa"/>
            <w:tcBorders>
              <w:top w:val="single" w:sz="6" w:space="0" w:color="auto"/>
              <w:left w:val="single" w:sz="6" w:space="0" w:color="auto"/>
              <w:bottom w:val="single" w:sz="6" w:space="0" w:color="auto"/>
              <w:right w:val="single" w:sz="6" w:space="0" w:color="auto"/>
            </w:tcBorders>
          </w:tcPr>
          <w:p w14:paraId="3FC13E45"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lang w:val="uk-UA"/>
              </w:rPr>
            </w:pPr>
            <w:r>
              <w:rPr>
                <w:rFonts w:ascii="Times New Roman CYR" w:hAnsi="Times New Roman CYR" w:cs="Times New Roman CYR"/>
                <w:color w:val="000000"/>
                <w:kern w:val="0"/>
                <w:sz w:val="20"/>
                <w:szCs w:val="20"/>
                <w:lang w:val="uk-UA"/>
              </w:rPr>
              <w:t>Приготування 1н HCl, трубопроводи для кислоти та води</w:t>
            </w:r>
          </w:p>
        </w:tc>
        <w:tc>
          <w:tcPr>
            <w:tcW w:w="2229" w:type="dxa"/>
            <w:tcBorders>
              <w:top w:val="single" w:sz="6" w:space="0" w:color="auto"/>
              <w:left w:val="single" w:sz="6" w:space="0" w:color="auto"/>
              <w:bottom w:val="single" w:sz="6" w:space="0" w:color="auto"/>
              <w:right w:val="single" w:sz="6" w:space="0" w:color="auto"/>
            </w:tcBorders>
          </w:tcPr>
          <w:p w14:paraId="737EC3DD"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lang w:val="uk-UA"/>
              </w:rPr>
            </w:pPr>
            <w:r>
              <w:rPr>
                <w:rFonts w:ascii="Times New Roman CYR" w:hAnsi="Times New Roman CYR" w:cs="Times New Roman CYR"/>
                <w:color w:val="000000"/>
                <w:kern w:val="0"/>
                <w:sz w:val="20"/>
                <w:szCs w:val="20"/>
                <w:lang w:val="uk-UA"/>
              </w:rPr>
              <w:t>Співвідношення витрат концентрованої HCl та води</w:t>
            </w:r>
          </w:p>
        </w:tc>
        <w:tc>
          <w:tcPr>
            <w:tcW w:w="2213" w:type="dxa"/>
            <w:tcBorders>
              <w:top w:val="single" w:sz="6" w:space="0" w:color="auto"/>
              <w:left w:val="single" w:sz="6" w:space="0" w:color="auto"/>
              <w:bottom w:val="single" w:sz="6" w:space="0" w:color="auto"/>
              <w:right w:val="single" w:sz="6" w:space="0" w:color="auto"/>
            </w:tcBorders>
          </w:tcPr>
          <w:p w14:paraId="612CFD94"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lang w:val="uk-UA"/>
              </w:rPr>
            </w:pPr>
            <w:r>
              <w:rPr>
                <w:rFonts w:ascii="Times New Roman CYR" w:hAnsi="Times New Roman CYR" w:cs="Times New Roman CYR"/>
                <w:color w:val="000000"/>
                <w:kern w:val="0"/>
                <w:sz w:val="20"/>
                <w:szCs w:val="20"/>
                <w:lang w:val="uk-UA"/>
              </w:rPr>
              <w:t>m(HCl):m(води)= =1:26,4</w:t>
            </w:r>
          </w:p>
        </w:tc>
        <w:tc>
          <w:tcPr>
            <w:tcW w:w="1884" w:type="dxa"/>
            <w:tcBorders>
              <w:top w:val="single" w:sz="6" w:space="0" w:color="auto"/>
              <w:left w:val="single" w:sz="6" w:space="0" w:color="auto"/>
              <w:bottom w:val="single" w:sz="6" w:space="0" w:color="auto"/>
              <w:right w:val="single" w:sz="6" w:space="0" w:color="auto"/>
            </w:tcBorders>
          </w:tcPr>
          <w:p w14:paraId="16090031"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lang w:val="uk-UA"/>
              </w:rPr>
            </w:pPr>
            <w:r>
              <w:rPr>
                <w:rFonts w:ascii="Times New Roman CYR" w:hAnsi="Times New Roman CYR" w:cs="Times New Roman CYR"/>
                <w:color w:val="000000"/>
                <w:kern w:val="0"/>
                <w:sz w:val="20"/>
                <w:szCs w:val="20"/>
                <w:lang w:val="uk-UA"/>
              </w:rPr>
              <w:t>Регулювання</w:t>
            </w:r>
          </w:p>
        </w:tc>
      </w:tr>
      <w:tr w:rsidR="00000000" w14:paraId="123B60DD" w14:textId="77777777">
        <w:tblPrEx>
          <w:tblCellMar>
            <w:top w:w="0" w:type="dxa"/>
            <w:bottom w:w="0" w:type="dxa"/>
          </w:tblCellMar>
        </w:tblPrEx>
        <w:trPr>
          <w:jc w:val="center"/>
        </w:trPr>
        <w:tc>
          <w:tcPr>
            <w:tcW w:w="574" w:type="dxa"/>
            <w:tcBorders>
              <w:top w:val="single" w:sz="6" w:space="0" w:color="auto"/>
              <w:left w:val="single" w:sz="6" w:space="0" w:color="auto"/>
              <w:bottom w:val="single" w:sz="6" w:space="0" w:color="auto"/>
              <w:right w:val="single" w:sz="6" w:space="0" w:color="auto"/>
            </w:tcBorders>
          </w:tcPr>
          <w:p w14:paraId="6056EED4"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lang w:val="uk-UA"/>
              </w:rPr>
            </w:pPr>
            <w:r>
              <w:rPr>
                <w:rFonts w:ascii="Times New Roman CYR" w:hAnsi="Times New Roman CYR" w:cs="Times New Roman CYR"/>
                <w:color w:val="000000"/>
                <w:kern w:val="0"/>
                <w:sz w:val="20"/>
                <w:szCs w:val="20"/>
                <w:lang w:val="uk-UA"/>
              </w:rPr>
              <w:t>2</w:t>
            </w:r>
          </w:p>
        </w:tc>
        <w:tc>
          <w:tcPr>
            <w:tcW w:w="2397" w:type="dxa"/>
            <w:tcBorders>
              <w:top w:val="single" w:sz="6" w:space="0" w:color="auto"/>
              <w:left w:val="single" w:sz="6" w:space="0" w:color="auto"/>
              <w:bottom w:val="single" w:sz="6" w:space="0" w:color="auto"/>
              <w:right w:val="single" w:sz="6" w:space="0" w:color="auto"/>
            </w:tcBorders>
          </w:tcPr>
          <w:p w14:paraId="021530E2"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lang w:val="uk-UA"/>
              </w:rPr>
            </w:pPr>
            <w:r>
              <w:rPr>
                <w:rFonts w:ascii="Times New Roman CYR" w:hAnsi="Times New Roman CYR" w:cs="Times New Roman CYR"/>
                <w:color w:val="000000"/>
                <w:kern w:val="0"/>
                <w:sz w:val="20"/>
                <w:szCs w:val="20"/>
                <w:lang w:val="uk-UA"/>
              </w:rPr>
              <w:t>Приготування 1н HCl, реактор для приготування 1н соляної кислоти</w:t>
            </w:r>
          </w:p>
        </w:tc>
        <w:tc>
          <w:tcPr>
            <w:tcW w:w="2229" w:type="dxa"/>
            <w:tcBorders>
              <w:top w:val="single" w:sz="6" w:space="0" w:color="auto"/>
              <w:left w:val="single" w:sz="6" w:space="0" w:color="auto"/>
              <w:bottom w:val="single" w:sz="6" w:space="0" w:color="auto"/>
              <w:right w:val="single" w:sz="6" w:space="0" w:color="auto"/>
            </w:tcBorders>
          </w:tcPr>
          <w:p w14:paraId="0200F6DE"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lang w:val="uk-UA"/>
              </w:rPr>
            </w:pPr>
            <w:r>
              <w:rPr>
                <w:rFonts w:ascii="Times New Roman CYR" w:hAnsi="Times New Roman CYR" w:cs="Times New Roman CYR"/>
                <w:color w:val="000000"/>
                <w:kern w:val="0"/>
                <w:sz w:val="20"/>
                <w:szCs w:val="20"/>
                <w:lang w:val="uk-UA"/>
              </w:rPr>
              <w:t>Рівень заповнення реактора для приготування 1н соляної кислоти</w:t>
            </w:r>
          </w:p>
        </w:tc>
        <w:tc>
          <w:tcPr>
            <w:tcW w:w="2213" w:type="dxa"/>
            <w:tcBorders>
              <w:top w:val="single" w:sz="6" w:space="0" w:color="auto"/>
              <w:left w:val="single" w:sz="6" w:space="0" w:color="auto"/>
              <w:bottom w:val="single" w:sz="6" w:space="0" w:color="auto"/>
              <w:right w:val="single" w:sz="6" w:space="0" w:color="auto"/>
            </w:tcBorders>
          </w:tcPr>
          <w:p w14:paraId="7A0B4EEE"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lang w:val="uk-UA"/>
              </w:rPr>
            </w:pPr>
            <w:r>
              <w:rPr>
                <w:rFonts w:ascii="Times New Roman CYR" w:hAnsi="Times New Roman CYR" w:cs="Times New Roman CYR"/>
                <w:color w:val="000000"/>
                <w:kern w:val="0"/>
                <w:sz w:val="20"/>
                <w:szCs w:val="20"/>
                <w:lang w:val="uk-UA"/>
              </w:rPr>
              <w:t>Не більше 0,7 повного об’єму реактора</w:t>
            </w:r>
          </w:p>
        </w:tc>
        <w:tc>
          <w:tcPr>
            <w:tcW w:w="1884" w:type="dxa"/>
            <w:tcBorders>
              <w:top w:val="single" w:sz="6" w:space="0" w:color="auto"/>
              <w:left w:val="single" w:sz="6" w:space="0" w:color="auto"/>
              <w:bottom w:val="single" w:sz="6" w:space="0" w:color="auto"/>
              <w:right w:val="single" w:sz="6" w:space="0" w:color="auto"/>
            </w:tcBorders>
          </w:tcPr>
          <w:p w14:paraId="1EDFFEB6"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lang w:val="uk-UA"/>
              </w:rPr>
            </w:pPr>
            <w:r>
              <w:rPr>
                <w:rFonts w:ascii="Times New Roman CYR" w:hAnsi="Times New Roman CYR" w:cs="Times New Roman CYR"/>
                <w:color w:val="000000"/>
                <w:kern w:val="0"/>
                <w:sz w:val="20"/>
                <w:szCs w:val="20"/>
                <w:lang w:val="uk-UA"/>
              </w:rPr>
              <w:t>Сигналізація</w:t>
            </w:r>
          </w:p>
        </w:tc>
      </w:tr>
      <w:tr w:rsidR="00000000" w14:paraId="393D02AB" w14:textId="77777777">
        <w:tblPrEx>
          <w:tblCellMar>
            <w:top w:w="0" w:type="dxa"/>
            <w:bottom w:w="0" w:type="dxa"/>
          </w:tblCellMar>
        </w:tblPrEx>
        <w:trPr>
          <w:jc w:val="center"/>
        </w:trPr>
        <w:tc>
          <w:tcPr>
            <w:tcW w:w="574" w:type="dxa"/>
            <w:tcBorders>
              <w:top w:val="single" w:sz="6" w:space="0" w:color="auto"/>
              <w:left w:val="single" w:sz="6" w:space="0" w:color="auto"/>
              <w:bottom w:val="single" w:sz="6" w:space="0" w:color="auto"/>
              <w:right w:val="single" w:sz="6" w:space="0" w:color="auto"/>
            </w:tcBorders>
          </w:tcPr>
          <w:p w14:paraId="0AFFC279"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lang w:val="uk-UA"/>
              </w:rPr>
            </w:pPr>
            <w:r>
              <w:rPr>
                <w:rFonts w:ascii="Times New Roman CYR" w:hAnsi="Times New Roman CYR" w:cs="Times New Roman CYR"/>
                <w:color w:val="000000"/>
                <w:kern w:val="0"/>
                <w:sz w:val="20"/>
                <w:szCs w:val="20"/>
                <w:lang w:val="uk-UA"/>
              </w:rPr>
              <w:t>3</w:t>
            </w:r>
          </w:p>
        </w:tc>
        <w:tc>
          <w:tcPr>
            <w:tcW w:w="2397" w:type="dxa"/>
            <w:tcBorders>
              <w:top w:val="single" w:sz="6" w:space="0" w:color="auto"/>
              <w:left w:val="single" w:sz="6" w:space="0" w:color="auto"/>
              <w:bottom w:val="single" w:sz="6" w:space="0" w:color="auto"/>
              <w:right w:val="single" w:sz="6" w:space="0" w:color="auto"/>
            </w:tcBorders>
          </w:tcPr>
          <w:p w14:paraId="10D45AAD"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lang w:val="uk-UA"/>
              </w:rPr>
            </w:pPr>
            <w:r>
              <w:rPr>
                <w:rFonts w:ascii="Times New Roman CYR" w:hAnsi="Times New Roman CYR" w:cs="Times New Roman CYR"/>
                <w:color w:val="000000"/>
                <w:kern w:val="0"/>
                <w:sz w:val="20"/>
                <w:szCs w:val="20"/>
                <w:lang w:val="uk-UA"/>
              </w:rPr>
              <w:t xml:space="preserve">Приготування 1н HCl, реактор для </w:t>
            </w:r>
            <w:r>
              <w:rPr>
                <w:rFonts w:ascii="Times New Roman CYR" w:hAnsi="Times New Roman CYR" w:cs="Times New Roman CYR"/>
                <w:color w:val="000000"/>
                <w:kern w:val="0"/>
                <w:sz w:val="20"/>
                <w:szCs w:val="20"/>
                <w:lang w:val="uk-UA"/>
              </w:rPr>
              <w:lastRenderedPageBreak/>
              <w:t>приготування 1н соляної кислоти</w:t>
            </w:r>
          </w:p>
        </w:tc>
        <w:tc>
          <w:tcPr>
            <w:tcW w:w="2229" w:type="dxa"/>
            <w:tcBorders>
              <w:top w:val="single" w:sz="6" w:space="0" w:color="auto"/>
              <w:left w:val="single" w:sz="6" w:space="0" w:color="auto"/>
              <w:bottom w:val="single" w:sz="6" w:space="0" w:color="auto"/>
              <w:right w:val="single" w:sz="6" w:space="0" w:color="auto"/>
            </w:tcBorders>
          </w:tcPr>
          <w:p w14:paraId="3DA75399"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lang w:val="uk-UA"/>
              </w:rPr>
            </w:pPr>
            <w:r>
              <w:rPr>
                <w:rFonts w:ascii="Times New Roman CYR" w:hAnsi="Times New Roman CYR" w:cs="Times New Roman CYR"/>
                <w:color w:val="000000"/>
                <w:kern w:val="0"/>
                <w:sz w:val="20"/>
                <w:szCs w:val="20"/>
                <w:lang w:val="uk-UA"/>
              </w:rPr>
              <w:lastRenderedPageBreak/>
              <w:t>Температура суміші</w:t>
            </w:r>
          </w:p>
        </w:tc>
        <w:tc>
          <w:tcPr>
            <w:tcW w:w="2213" w:type="dxa"/>
            <w:tcBorders>
              <w:top w:val="single" w:sz="6" w:space="0" w:color="auto"/>
              <w:left w:val="single" w:sz="6" w:space="0" w:color="auto"/>
              <w:bottom w:val="single" w:sz="6" w:space="0" w:color="auto"/>
              <w:right w:val="single" w:sz="6" w:space="0" w:color="auto"/>
            </w:tcBorders>
          </w:tcPr>
          <w:p w14:paraId="573EE9A0"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lang w:val="uk-UA"/>
              </w:rPr>
            </w:pPr>
            <w:r>
              <w:rPr>
                <w:rFonts w:ascii="Times New Roman CYR" w:hAnsi="Times New Roman CYR" w:cs="Times New Roman CYR"/>
                <w:color w:val="000000"/>
                <w:kern w:val="0"/>
                <w:sz w:val="20"/>
                <w:szCs w:val="20"/>
                <w:lang w:val="uk-UA"/>
              </w:rPr>
              <w:t>Не більше 40°С</w:t>
            </w:r>
          </w:p>
        </w:tc>
        <w:tc>
          <w:tcPr>
            <w:tcW w:w="1884" w:type="dxa"/>
            <w:tcBorders>
              <w:top w:val="single" w:sz="6" w:space="0" w:color="auto"/>
              <w:left w:val="single" w:sz="6" w:space="0" w:color="auto"/>
              <w:bottom w:val="single" w:sz="6" w:space="0" w:color="auto"/>
              <w:right w:val="single" w:sz="6" w:space="0" w:color="auto"/>
            </w:tcBorders>
          </w:tcPr>
          <w:p w14:paraId="23957F2F"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lang w:val="uk-UA"/>
              </w:rPr>
            </w:pPr>
            <w:r>
              <w:rPr>
                <w:rFonts w:ascii="Times New Roman CYR" w:hAnsi="Times New Roman CYR" w:cs="Times New Roman CYR"/>
                <w:color w:val="000000"/>
                <w:kern w:val="0"/>
                <w:sz w:val="20"/>
                <w:szCs w:val="20"/>
                <w:lang w:val="uk-UA"/>
              </w:rPr>
              <w:t>Регулювання</w:t>
            </w:r>
          </w:p>
        </w:tc>
      </w:tr>
      <w:tr w:rsidR="00000000" w14:paraId="4968B390" w14:textId="77777777">
        <w:tblPrEx>
          <w:tblCellMar>
            <w:top w:w="0" w:type="dxa"/>
            <w:bottom w:w="0" w:type="dxa"/>
          </w:tblCellMar>
        </w:tblPrEx>
        <w:trPr>
          <w:jc w:val="center"/>
        </w:trPr>
        <w:tc>
          <w:tcPr>
            <w:tcW w:w="574" w:type="dxa"/>
            <w:tcBorders>
              <w:top w:val="single" w:sz="6" w:space="0" w:color="auto"/>
              <w:left w:val="single" w:sz="6" w:space="0" w:color="auto"/>
              <w:bottom w:val="single" w:sz="6" w:space="0" w:color="auto"/>
              <w:right w:val="single" w:sz="6" w:space="0" w:color="auto"/>
            </w:tcBorders>
          </w:tcPr>
          <w:p w14:paraId="749C36BB"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lang w:val="uk-UA"/>
              </w:rPr>
            </w:pPr>
            <w:r>
              <w:rPr>
                <w:rFonts w:ascii="Times New Roman CYR" w:hAnsi="Times New Roman CYR" w:cs="Times New Roman CYR"/>
                <w:color w:val="000000"/>
                <w:kern w:val="0"/>
                <w:sz w:val="20"/>
                <w:szCs w:val="20"/>
                <w:lang w:val="uk-UA"/>
              </w:rPr>
              <w:t>4</w:t>
            </w:r>
          </w:p>
        </w:tc>
        <w:tc>
          <w:tcPr>
            <w:tcW w:w="2397" w:type="dxa"/>
            <w:tcBorders>
              <w:top w:val="single" w:sz="6" w:space="0" w:color="auto"/>
              <w:left w:val="single" w:sz="6" w:space="0" w:color="auto"/>
              <w:bottom w:val="single" w:sz="6" w:space="0" w:color="auto"/>
              <w:right w:val="single" w:sz="6" w:space="0" w:color="auto"/>
            </w:tcBorders>
          </w:tcPr>
          <w:p w14:paraId="27EC9141"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lang w:val="uk-UA"/>
              </w:rPr>
            </w:pPr>
            <w:r>
              <w:rPr>
                <w:rFonts w:ascii="Times New Roman CYR" w:hAnsi="Times New Roman CYR" w:cs="Times New Roman CYR"/>
                <w:color w:val="000000"/>
                <w:kern w:val="0"/>
                <w:sz w:val="20"/>
                <w:szCs w:val="20"/>
                <w:lang w:val="uk-UA"/>
              </w:rPr>
              <w:t>Приготування 1н HCl, збірник для 1н соляної кислоти</w:t>
            </w:r>
          </w:p>
        </w:tc>
        <w:tc>
          <w:tcPr>
            <w:tcW w:w="2229" w:type="dxa"/>
            <w:tcBorders>
              <w:top w:val="single" w:sz="6" w:space="0" w:color="auto"/>
              <w:left w:val="single" w:sz="6" w:space="0" w:color="auto"/>
              <w:bottom w:val="single" w:sz="6" w:space="0" w:color="auto"/>
              <w:right w:val="single" w:sz="6" w:space="0" w:color="auto"/>
            </w:tcBorders>
          </w:tcPr>
          <w:p w14:paraId="398D450D"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lang w:val="uk-UA"/>
              </w:rPr>
            </w:pPr>
            <w:r>
              <w:rPr>
                <w:rFonts w:ascii="Times New Roman CYR" w:hAnsi="Times New Roman CYR" w:cs="Times New Roman CYR"/>
                <w:color w:val="000000"/>
                <w:kern w:val="0"/>
                <w:sz w:val="20"/>
                <w:szCs w:val="20"/>
                <w:lang w:val="uk-UA"/>
              </w:rPr>
              <w:t>Рівень заповнення</w:t>
            </w:r>
          </w:p>
        </w:tc>
        <w:tc>
          <w:tcPr>
            <w:tcW w:w="2213" w:type="dxa"/>
            <w:tcBorders>
              <w:top w:val="single" w:sz="6" w:space="0" w:color="auto"/>
              <w:left w:val="single" w:sz="6" w:space="0" w:color="auto"/>
              <w:bottom w:val="single" w:sz="6" w:space="0" w:color="auto"/>
              <w:right w:val="single" w:sz="6" w:space="0" w:color="auto"/>
            </w:tcBorders>
          </w:tcPr>
          <w:p w14:paraId="7B9EE6C6"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lang w:val="uk-UA"/>
              </w:rPr>
            </w:pPr>
            <w:r>
              <w:rPr>
                <w:rFonts w:ascii="Times New Roman CYR" w:hAnsi="Times New Roman CYR" w:cs="Times New Roman CYR"/>
                <w:color w:val="000000"/>
                <w:kern w:val="0"/>
                <w:sz w:val="20"/>
                <w:szCs w:val="20"/>
                <w:lang w:val="uk-UA"/>
              </w:rPr>
              <w:t>Не більше 0,9 повного об’єму збірника</w:t>
            </w:r>
          </w:p>
        </w:tc>
        <w:tc>
          <w:tcPr>
            <w:tcW w:w="1884" w:type="dxa"/>
            <w:tcBorders>
              <w:top w:val="single" w:sz="6" w:space="0" w:color="auto"/>
              <w:left w:val="single" w:sz="6" w:space="0" w:color="auto"/>
              <w:bottom w:val="single" w:sz="6" w:space="0" w:color="auto"/>
              <w:right w:val="single" w:sz="6" w:space="0" w:color="auto"/>
            </w:tcBorders>
          </w:tcPr>
          <w:p w14:paraId="1A083F14"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lang w:val="uk-UA"/>
              </w:rPr>
            </w:pPr>
            <w:r>
              <w:rPr>
                <w:rFonts w:ascii="Times New Roman CYR" w:hAnsi="Times New Roman CYR" w:cs="Times New Roman CYR"/>
                <w:color w:val="000000"/>
                <w:kern w:val="0"/>
                <w:sz w:val="20"/>
                <w:szCs w:val="20"/>
                <w:lang w:val="uk-UA"/>
              </w:rPr>
              <w:t>Сигналізація</w:t>
            </w:r>
          </w:p>
        </w:tc>
      </w:tr>
      <w:tr w:rsidR="00000000" w14:paraId="5EAFA525" w14:textId="77777777">
        <w:tblPrEx>
          <w:tblCellMar>
            <w:top w:w="0" w:type="dxa"/>
            <w:bottom w:w="0" w:type="dxa"/>
          </w:tblCellMar>
        </w:tblPrEx>
        <w:trPr>
          <w:jc w:val="center"/>
        </w:trPr>
        <w:tc>
          <w:tcPr>
            <w:tcW w:w="574" w:type="dxa"/>
            <w:tcBorders>
              <w:top w:val="single" w:sz="6" w:space="0" w:color="auto"/>
              <w:left w:val="single" w:sz="6" w:space="0" w:color="auto"/>
              <w:bottom w:val="single" w:sz="6" w:space="0" w:color="auto"/>
              <w:right w:val="single" w:sz="6" w:space="0" w:color="auto"/>
            </w:tcBorders>
          </w:tcPr>
          <w:p w14:paraId="50BD7839"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lang w:val="uk-UA"/>
              </w:rPr>
            </w:pPr>
            <w:r>
              <w:rPr>
                <w:rFonts w:ascii="Times New Roman CYR" w:hAnsi="Times New Roman CYR" w:cs="Times New Roman CYR"/>
                <w:color w:val="000000"/>
                <w:kern w:val="0"/>
                <w:sz w:val="20"/>
                <w:szCs w:val="20"/>
                <w:lang w:val="uk-UA"/>
              </w:rPr>
              <w:t>5</w:t>
            </w:r>
          </w:p>
        </w:tc>
        <w:tc>
          <w:tcPr>
            <w:tcW w:w="2397" w:type="dxa"/>
            <w:tcBorders>
              <w:top w:val="single" w:sz="6" w:space="0" w:color="auto"/>
              <w:left w:val="single" w:sz="6" w:space="0" w:color="auto"/>
              <w:bottom w:val="single" w:sz="6" w:space="0" w:color="auto"/>
              <w:right w:val="single" w:sz="6" w:space="0" w:color="auto"/>
            </w:tcBorders>
          </w:tcPr>
          <w:p w14:paraId="0FBA058A"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lang w:val="uk-UA"/>
              </w:rPr>
            </w:pPr>
            <w:r>
              <w:rPr>
                <w:rFonts w:ascii="Times New Roman CYR" w:hAnsi="Times New Roman CYR" w:cs="Times New Roman CYR"/>
                <w:color w:val="000000"/>
                <w:kern w:val="0"/>
                <w:sz w:val="20"/>
                <w:szCs w:val="20"/>
                <w:lang w:val="uk-UA"/>
              </w:rPr>
              <w:t>Приготування 1н HCl, мірник для 1н соляної кислоти</w:t>
            </w:r>
          </w:p>
        </w:tc>
        <w:tc>
          <w:tcPr>
            <w:tcW w:w="2229" w:type="dxa"/>
            <w:tcBorders>
              <w:top w:val="single" w:sz="6" w:space="0" w:color="auto"/>
              <w:left w:val="single" w:sz="6" w:space="0" w:color="auto"/>
              <w:bottom w:val="single" w:sz="6" w:space="0" w:color="auto"/>
              <w:right w:val="single" w:sz="6" w:space="0" w:color="auto"/>
            </w:tcBorders>
          </w:tcPr>
          <w:p w14:paraId="6E734902"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lang w:val="uk-UA"/>
              </w:rPr>
            </w:pPr>
            <w:r>
              <w:rPr>
                <w:rFonts w:ascii="Times New Roman CYR" w:hAnsi="Times New Roman CYR" w:cs="Times New Roman CYR"/>
                <w:color w:val="000000"/>
                <w:kern w:val="0"/>
                <w:sz w:val="20"/>
                <w:szCs w:val="20"/>
                <w:lang w:val="uk-UA"/>
              </w:rPr>
              <w:t>Рівень заповнення</w:t>
            </w:r>
          </w:p>
        </w:tc>
        <w:tc>
          <w:tcPr>
            <w:tcW w:w="2213" w:type="dxa"/>
            <w:tcBorders>
              <w:top w:val="single" w:sz="6" w:space="0" w:color="auto"/>
              <w:left w:val="single" w:sz="6" w:space="0" w:color="auto"/>
              <w:bottom w:val="single" w:sz="6" w:space="0" w:color="auto"/>
              <w:right w:val="single" w:sz="6" w:space="0" w:color="auto"/>
            </w:tcBorders>
          </w:tcPr>
          <w:p w14:paraId="57C4D5AD"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lang w:val="uk-UA"/>
              </w:rPr>
            </w:pPr>
            <w:r>
              <w:rPr>
                <w:rFonts w:ascii="Times New Roman CYR" w:hAnsi="Times New Roman CYR" w:cs="Times New Roman CYR"/>
                <w:color w:val="000000"/>
                <w:kern w:val="0"/>
                <w:sz w:val="20"/>
                <w:szCs w:val="20"/>
                <w:lang w:val="uk-UA"/>
              </w:rPr>
              <w:t>Операційна загрузка 1н соляної кислоти</w:t>
            </w:r>
          </w:p>
        </w:tc>
        <w:tc>
          <w:tcPr>
            <w:tcW w:w="1884" w:type="dxa"/>
            <w:tcBorders>
              <w:top w:val="single" w:sz="6" w:space="0" w:color="auto"/>
              <w:left w:val="single" w:sz="6" w:space="0" w:color="auto"/>
              <w:bottom w:val="single" w:sz="6" w:space="0" w:color="auto"/>
              <w:right w:val="single" w:sz="6" w:space="0" w:color="auto"/>
            </w:tcBorders>
          </w:tcPr>
          <w:p w14:paraId="354622BE"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lang w:val="uk-UA"/>
              </w:rPr>
            </w:pPr>
            <w:r>
              <w:rPr>
                <w:rFonts w:ascii="Times New Roman CYR" w:hAnsi="Times New Roman CYR" w:cs="Times New Roman CYR"/>
                <w:color w:val="000000"/>
                <w:kern w:val="0"/>
                <w:sz w:val="20"/>
                <w:szCs w:val="20"/>
                <w:lang w:val="uk-UA"/>
              </w:rPr>
              <w:t>Регулювання</w:t>
            </w:r>
          </w:p>
        </w:tc>
      </w:tr>
      <w:tr w:rsidR="00000000" w14:paraId="0CE629EC" w14:textId="77777777">
        <w:tblPrEx>
          <w:tblCellMar>
            <w:top w:w="0" w:type="dxa"/>
            <w:bottom w:w="0" w:type="dxa"/>
          </w:tblCellMar>
        </w:tblPrEx>
        <w:trPr>
          <w:jc w:val="center"/>
        </w:trPr>
        <w:tc>
          <w:tcPr>
            <w:tcW w:w="574" w:type="dxa"/>
            <w:tcBorders>
              <w:top w:val="single" w:sz="6" w:space="0" w:color="auto"/>
              <w:left w:val="single" w:sz="6" w:space="0" w:color="auto"/>
              <w:bottom w:val="single" w:sz="6" w:space="0" w:color="auto"/>
              <w:right w:val="single" w:sz="6" w:space="0" w:color="auto"/>
            </w:tcBorders>
          </w:tcPr>
          <w:p w14:paraId="135F5948"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lang w:val="uk-UA"/>
              </w:rPr>
            </w:pPr>
            <w:r>
              <w:rPr>
                <w:rFonts w:ascii="Times New Roman CYR" w:hAnsi="Times New Roman CYR" w:cs="Times New Roman CYR"/>
                <w:color w:val="000000"/>
                <w:kern w:val="0"/>
                <w:sz w:val="20"/>
                <w:szCs w:val="20"/>
                <w:lang w:val="uk-UA"/>
              </w:rPr>
              <w:t>6</w:t>
            </w:r>
          </w:p>
        </w:tc>
        <w:tc>
          <w:tcPr>
            <w:tcW w:w="2397" w:type="dxa"/>
            <w:tcBorders>
              <w:top w:val="single" w:sz="6" w:space="0" w:color="auto"/>
              <w:left w:val="single" w:sz="6" w:space="0" w:color="auto"/>
              <w:bottom w:val="single" w:sz="6" w:space="0" w:color="auto"/>
              <w:right w:val="single" w:sz="6" w:space="0" w:color="auto"/>
            </w:tcBorders>
          </w:tcPr>
          <w:p w14:paraId="4BF0D4A8"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lang w:val="uk-UA"/>
              </w:rPr>
            </w:pPr>
            <w:r>
              <w:rPr>
                <w:rFonts w:ascii="Times New Roman CYR" w:hAnsi="Times New Roman CYR" w:cs="Times New Roman CYR"/>
                <w:color w:val="000000"/>
                <w:kern w:val="0"/>
                <w:sz w:val="20"/>
                <w:szCs w:val="20"/>
                <w:lang w:val="uk-UA"/>
              </w:rPr>
              <w:t>Перекристалізація, реактор для перекристалізації</w:t>
            </w:r>
          </w:p>
        </w:tc>
        <w:tc>
          <w:tcPr>
            <w:tcW w:w="2229" w:type="dxa"/>
            <w:tcBorders>
              <w:top w:val="single" w:sz="6" w:space="0" w:color="auto"/>
              <w:left w:val="single" w:sz="6" w:space="0" w:color="auto"/>
              <w:bottom w:val="single" w:sz="6" w:space="0" w:color="auto"/>
              <w:right w:val="single" w:sz="6" w:space="0" w:color="auto"/>
            </w:tcBorders>
          </w:tcPr>
          <w:p w14:paraId="711AFF07"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lang w:val="uk-UA"/>
              </w:rPr>
            </w:pPr>
            <w:r>
              <w:rPr>
                <w:rFonts w:ascii="Times New Roman CYR" w:hAnsi="Times New Roman CYR" w:cs="Times New Roman CYR"/>
                <w:color w:val="000000"/>
                <w:kern w:val="0"/>
                <w:sz w:val="20"/>
                <w:szCs w:val="20"/>
                <w:lang w:val="uk-UA"/>
              </w:rPr>
              <w:t xml:space="preserve">Рівень заповнення реактора для перекристалізації  </w:t>
            </w:r>
          </w:p>
        </w:tc>
        <w:tc>
          <w:tcPr>
            <w:tcW w:w="2213" w:type="dxa"/>
            <w:tcBorders>
              <w:top w:val="single" w:sz="6" w:space="0" w:color="auto"/>
              <w:left w:val="single" w:sz="6" w:space="0" w:color="auto"/>
              <w:bottom w:val="single" w:sz="6" w:space="0" w:color="auto"/>
              <w:right w:val="single" w:sz="6" w:space="0" w:color="auto"/>
            </w:tcBorders>
          </w:tcPr>
          <w:p w14:paraId="33B6B31E"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lang w:val="uk-UA"/>
              </w:rPr>
            </w:pPr>
            <w:r>
              <w:rPr>
                <w:rFonts w:ascii="Times New Roman CYR" w:hAnsi="Times New Roman CYR" w:cs="Times New Roman CYR"/>
                <w:color w:val="000000"/>
                <w:kern w:val="0"/>
                <w:sz w:val="20"/>
                <w:szCs w:val="20"/>
                <w:lang w:val="uk-UA"/>
              </w:rPr>
              <w:t>Не більше 0,7 повного об’єму реактора</w:t>
            </w:r>
          </w:p>
        </w:tc>
        <w:tc>
          <w:tcPr>
            <w:tcW w:w="1884" w:type="dxa"/>
            <w:tcBorders>
              <w:top w:val="single" w:sz="6" w:space="0" w:color="auto"/>
              <w:left w:val="single" w:sz="6" w:space="0" w:color="auto"/>
              <w:bottom w:val="single" w:sz="6" w:space="0" w:color="auto"/>
              <w:right w:val="single" w:sz="6" w:space="0" w:color="auto"/>
            </w:tcBorders>
          </w:tcPr>
          <w:p w14:paraId="03025E3E"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lang w:val="uk-UA"/>
              </w:rPr>
            </w:pPr>
            <w:r>
              <w:rPr>
                <w:rFonts w:ascii="Times New Roman CYR" w:hAnsi="Times New Roman CYR" w:cs="Times New Roman CYR"/>
                <w:color w:val="000000"/>
                <w:kern w:val="0"/>
                <w:sz w:val="20"/>
                <w:szCs w:val="20"/>
                <w:lang w:val="uk-UA"/>
              </w:rPr>
              <w:t>Сигналізація</w:t>
            </w:r>
          </w:p>
        </w:tc>
      </w:tr>
      <w:tr w:rsidR="00000000" w14:paraId="3F11B603" w14:textId="77777777">
        <w:tblPrEx>
          <w:tblCellMar>
            <w:top w:w="0" w:type="dxa"/>
            <w:bottom w:w="0" w:type="dxa"/>
          </w:tblCellMar>
        </w:tblPrEx>
        <w:trPr>
          <w:jc w:val="center"/>
        </w:trPr>
        <w:tc>
          <w:tcPr>
            <w:tcW w:w="574" w:type="dxa"/>
            <w:tcBorders>
              <w:top w:val="single" w:sz="6" w:space="0" w:color="auto"/>
              <w:left w:val="single" w:sz="6" w:space="0" w:color="auto"/>
              <w:bottom w:val="single" w:sz="6" w:space="0" w:color="auto"/>
              <w:right w:val="single" w:sz="6" w:space="0" w:color="auto"/>
            </w:tcBorders>
          </w:tcPr>
          <w:p w14:paraId="74E2FB74"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lang w:val="uk-UA"/>
              </w:rPr>
            </w:pPr>
            <w:r>
              <w:rPr>
                <w:rFonts w:ascii="Times New Roman CYR" w:hAnsi="Times New Roman CYR" w:cs="Times New Roman CYR"/>
                <w:color w:val="000000"/>
                <w:kern w:val="0"/>
                <w:sz w:val="20"/>
                <w:szCs w:val="20"/>
                <w:lang w:val="uk-UA"/>
              </w:rPr>
              <w:t>7</w:t>
            </w:r>
          </w:p>
        </w:tc>
        <w:tc>
          <w:tcPr>
            <w:tcW w:w="2397" w:type="dxa"/>
            <w:tcBorders>
              <w:top w:val="single" w:sz="6" w:space="0" w:color="auto"/>
              <w:left w:val="single" w:sz="6" w:space="0" w:color="auto"/>
              <w:bottom w:val="single" w:sz="6" w:space="0" w:color="auto"/>
              <w:right w:val="single" w:sz="6" w:space="0" w:color="auto"/>
            </w:tcBorders>
          </w:tcPr>
          <w:p w14:paraId="42D5953B"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lang w:val="uk-UA"/>
              </w:rPr>
            </w:pPr>
            <w:r>
              <w:rPr>
                <w:rFonts w:ascii="Times New Roman CYR" w:hAnsi="Times New Roman CYR" w:cs="Times New Roman CYR"/>
                <w:color w:val="000000"/>
                <w:kern w:val="0"/>
                <w:sz w:val="20"/>
                <w:szCs w:val="20"/>
                <w:lang w:val="uk-UA"/>
              </w:rPr>
              <w:t>Перекристалізація, реактор для перекристалізації</w:t>
            </w:r>
          </w:p>
        </w:tc>
        <w:tc>
          <w:tcPr>
            <w:tcW w:w="2229" w:type="dxa"/>
            <w:tcBorders>
              <w:top w:val="single" w:sz="6" w:space="0" w:color="auto"/>
              <w:left w:val="single" w:sz="6" w:space="0" w:color="auto"/>
              <w:bottom w:val="single" w:sz="6" w:space="0" w:color="auto"/>
              <w:right w:val="single" w:sz="6" w:space="0" w:color="auto"/>
            </w:tcBorders>
          </w:tcPr>
          <w:p w14:paraId="16CACBFB"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lang w:val="uk-UA"/>
              </w:rPr>
            </w:pPr>
            <w:r>
              <w:rPr>
                <w:rFonts w:ascii="Times New Roman CYR" w:hAnsi="Times New Roman CYR" w:cs="Times New Roman CYR"/>
                <w:color w:val="000000"/>
                <w:kern w:val="0"/>
                <w:sz w:val="20"/>
                <w:szCs w:val="20"/>
                <w:lang w:val="uk-UA"/>
              </w:rPr>
              <w:t>Температура суміші</w:t>
            </w:r>
          </w:p>
        </w:tc>
        <w:tc>
          <w:tcPr>
            <w:tcW w:w="2213" w:type="dxa"/>
            <w:tcBorders>
              <w:top w:val="single" w:sz="6" w:space="0" w:color="auto"/>
              <w:left w:val="single" w:sz="6" w:space="0" w:color="auto"/>
              <w:bottom w:val="single" w:sz="6" w:space="0" w:color="auto"/>
              <w:right w:val="single" w:sz="6" w:space="0" w:color="auto"/>
            </w:tcBorders>
          </w:tcPr>
          <w:p w14:paraId="7D0023F6"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lang w:val="uk-UA"/>
              </w:rPr>
            </w:pPr>
            <w:r>
              <w:rPr>
                <w:rFonts w:ascii="Times New Roman CYR" w:hAnsi="Times New Roman CYR" w:cs="Times New Roman CYR"/>
                <w:color w:val="000000"/>
                <w:kern w:val="0"/>
                <w:sz w:val="20"/>
                <w:szCs w:val="20"/>
                <w:lang w:val="uk-UA"/>
              </w:rPr>
              <w:t>100±5°С</w:t>
            </w:r>
          </w:p>
        </w:tc>
        <w:tc>
          <w:tcPr>
            <w:tcW w:w="1884" w:type="dxa"/>
            <w:tcBorders>
              <w:top w:val="single" w:sz="6" w:space="0" w:color="auto"/>
              <w:left w:val="single" w:sz="6" w:space="0" w:color="auto"/>
              <w:bottom w:val="single" w:sz="6" w:space="0" w:color="auto"/>
              <w:right w:val="single" w:sz="6" w:space="0" w:color="auto"/>
            </w:tcBorders>
          </w:tcPr>
          <w:p w14:paraId="09709506"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lang w:val="uk-UA"/>
              </w:rPr>
            </w:pPr>
            <w:r>
              <w:rPr>
                <w:rFonts w:ascii="Times New Roman CYR" w:hAnsi="Times New Roman CYR" w:cs="Times New Roman CYR"/>
                <w:color w:val="000000"/>
                <w:kern w:val="0"/>
                <w:sz w:val="20"/>
                <w:szCs w:val="20"/>
                <w:lang w:val="uk-UA"/>
              </w:rPr>
              <w:t>Регулювання</w:t>
            </w:r>
          </w:p>
        </w:tc>
      </w:tr>
      <w:tr w:rsidR="00000000" w14:paraId="46783913" w14:textId="77777777">
        <w:tblPrEx>
          <w:tblCellMar>
            <w:top w:w="0" w:type="dxa"/>
            <w:bottom w:w="0" w:type="dxa"/>
          </w:tblCellMar>
        </w:tblPrEx>
        <w:trPr>
          <w:jc w:val="center"/>
        </w:trPr>
        <w:tc>
          <w:tcPr>
            <w:tcW w:w="574" w:type="dxa"/>
            <w:tcBorders>
              <w:top w:val="single" w:sz="6" w:space="0" w:color="auto"/>
              <w:left w:val="single" w:sz="6" w:space="0" w:color="auto"/>
              <w:bottom w:val="single" w:sz="6" w:space="0" w:color="auto"/>
              <w:right w:val="single" w:sz="6" w:space="0" w:color="auto"/>
            </w:tcBorders>
          </w:tcPr>
          <w:p w14:paraId="258058B9"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lang w:val="uk-UA"/>
              </w:rPr>
            </w:pPr>
            <w:r>
              <w:rPr>
                <w:rFonts w:ascii="Times New Roman CYR" w:hAnsi="Times New Roman CYR" w:cs="Times New Roman CYR"/>
                <w:color w:val="000000"/>
                <w:kern w:val="0"/>
                <w:sz w:val="20"/>
                <w:szCs w:val="20"/>
                <w:lang w:val="uk-UA"/>
              </w:rPr>
              <w:t>8</w:t>
            </w:r>
          </w:p>
        </w:tc>
        <w:tc>
          <w:tcPr>
            <w:tcW w:w="2397" w:type="dxa"/>
            <w:tcBorders>
              <w:top w:val="single" w:sz="6" w:space="0" w:color="auto"/>
              <w:left w:val="single" w:sz="6" w:space="0" w:color="auto"/>
              <w:bottom w:val="single" w:sz="6" w:space="0" w:color="auto"/>
              <w:right w:val="single" w:sz="6" w:space="0" w:color="auto"/>
            </w:tcBorders>
          </w:tcPr>
          <w:p w14:paraId="47D87D8F"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lang w:val="uk-UA"/>
              </w:rPr>
            </w:pPr>
            <w:r>
              <w:rPr>
                <w:rFonts w:ascii="Times New Roman CYR" w:hAnsi="Times New Roman CYR" w:cs="Times New Roman CYR"/>
                <w:color w:val="000000"/>
                <w:kern w:val="0"/>
                <w:sz w:val="20"/>
                <w:szCs w:val="20"/>
                <w:lang w:val="uk-UA"/>
              </w:rPr>
              <w:t>Перекристалізація, теплообмінник</w:t>
            </w:r>
          </w:p>
        </w:tc>
        <w:tc>
          <w:tcPr>
            <w:tcW w:w="2229" w:type="dxa"/>
            <w:tcBorders>
              <w:top w:val="single" w:sz="6" w:space="0" w:color="auto"/>
              <w:left w:val="single" w:sz="6" w:space="0" w:color="auto"/>
              <w:bottom w:val="single" w:sz="6" w:space="0" w:color="auto"/>
              <w:right w:val="single" w:sz="6" w:space="0" w:color="auto"/>
            </w:tcBorders>
          </w:tcPr>
          <w:p w14:paraId="5755B44F"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lang w:val="uk-UA"/>
              </w:rPr>
            </w:pPr>
            <w:r>
              <w:rPr>
                <w:rFonts w:ascii="Times New Roman CYR" w:hAnsi="Times New Roman CYR" w:cs="Times New Roman CYR"/>
                <w:color w:val="000000"/>
                <w:kern w:val="0"/>
                <w:sz w:val="20"/>
                <w:szCs w:val="20"/>
                <w:lang w:val="uk-UA"/>
              </w:rPr>
              <w:t>Температура конденсата</w:t>
            </w:r>
          </w:p>
        </w:tc>
        <w:tc>
          <w:tcPr>
            <w:tcW w:w="2213" w:type="dxa"/>
            <w:tcBorders>
              <w:top w:val="single" w:sz="6" w:space="0" w:color="auto"/>
              <w:left w:val="single" w:sz="6" w:space="0" w:color="auto"/>
              <w:bottom w:val="single" w:sz="6" w:space="0" w:color="auto"/>
              <w:right w:val="single" w:sz="6" w:space="0" w:color="auto"/>
            </w:tcBorders>
          </w:tcPr>
          <w:p w14:paraId="0DF320FB"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lang w:val="uk-UA"/>
              </w:rPr>
            </w:pPr>
            <w:r>
              <w:rPr>
                <w:rFonts w:ascii="Times New Roman CYR" w:hAnsi="Times New Roman CYR" w:cs="Times New Roman CYR"/>
                <w:color w:val="000000"/>
                <w:kern w:val="0"/>
                <w:sz w:val="20"/>
                <w:szCs w:val="20"/>
                <w:lang w:val="uk-UA"/>
              </w:rPr>
              <w:t>50±5°С</w:t>
            </w:r>
          </w:p>
        </w:tc>
        <w:tc>
          <w:tcPr>
            <w:tcW w:w="1884" w:type="dxa"/>
            <w:tcBorders>
              <w:top w:val="single" w:sz="6" w:space="0" w:color="auto"/>
              <w:left w:val="single" w:sz="6" w:space="0" w:color="auto"/>
              <w:bottom w:val="single" w:sz="6" w:space="0" w:color="auto"/>
              <w:right w:val="single" w:sz="6" w:space="0" w:color="auto"/>
            </w:tcBorders>
          </w:tcPr>
          <w:p w14:paraId="4344EE56" w14:textId="77777777" w:rsidR="00000000" w:rsidRDefault="00000000">
            <w:pPr>
              <w:widowControl w:val="0"/>
              <w:autoSpaceDE w:val="0"/>
              <w:autoSpaceDN w:val="0"/>
              <w:adjustRightInd w:val="0"/>
              <w:spacing w:after="0" w:line="240" w:lineRule="auto"/>
              <w:rPr>
                <w:rFonts w:ascii="Times New Roman CYR" w:hAnsi="Times New Roman CYR" w:cs="Times New Roman CYR"/>
                <w:color w:val="000000"/>
                <w:kern w:val="0"/>
                <w:sz w:val="20"/>
                <w:szCs w:val="20"/>
                <w:lang w:val="uk-UA"/>
              </w:rPr>
            </w:pPr>
            <w:r>
              <w:rPr>
                <w:rFonts w:ascii="Times New Roman CYR" w:hAnsi="Times New Roman CYR" w:cs="Times New Roman CYR"/>
                <w:color w:val="000000"/>
                <w:kern w:val="0"/>
                <w:sz w:val="20"/>
                <w:szCs w:val="20"/>
                <w:lang w:val="uk-UA"/>
              </w:rPr>
              <w:t>Регулювання</w:t>
            </w:r>
          </w:p>
        </w:tc>
      </w:tr>
    </w:tbl>
    <w:p w14:paraId="0D3273F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lang w:val="uk-UA"/>
        </w:rPr>
      </w:pPr>
    </w:p>
    <w:p w14:paraId="6397409D" w14:textId="77777777" w:rsidR="00000000" w:rsidRDefault="00000000">
      <w:pPr>
        <w:widowControl w:val="0"/>
        <w:tabs>
          <w:tab w:val="left" w:pos="900"/>
        </w:tabs>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lang w:val="uk-UA"/>
        </w:rPr>
      </w:pPr>
      <w:r>
        <w:rPr>
          <w:rFonts w:ascii="Times New Roman CYR" w:hAnsi="Times New Roman CYR" w:cs="Times New Roman CYR"/>
          <w:b/>
          <w:bCs/>
          <w:color w:val="000000"/>
          <w:kern w:val="0"/>
          <w:sz w:val="28"/>
          <w:szCs w:val="28"/>
          <w:lang w:val="uk-UA"/>
        </w:rPr>
        <w:t>3.</w:t>
      </w:r>
      <w:r>
        <w:rPr>
          <w:rFonts w:ascii="Times New Roman CYR" w:hAnsi="Times New Roman CYR" w:cs="Times New Roman CYR"/>
          <w:b/>
          <w:bCs/>
          <w:color w:val="000000"/>
          <w:kern w:val="0"/>
          <w:sz w:val="28"/>
          <w:szCs w:val="28"/>
          <w:lang w:val="uk-UA"/>
        </w:rPr>
        <w:tab/>
        <w:t>Опис системи контролю та керування</w:t>
      </w:r>
    </w:p>
    <w:p w14:paraId="3C96B33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lang w:val="uk-UA"/>
        </w:rPr>
      </w:pPr>
    </w:p>
    <w:p w14:paraId="7C66C35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lang w:val="uk-UA"/>
        </w:rPr>
      </w:pPr>
      <w:r>
        <w:rPr>
          <w:rFonts w:ascii="Times New Roman CYR" w:hAnsi="Times New Roman CYR" w:cs="Times New Roman CYR"/>
          <w:color w:val="000000"/>
          <w:kern w:val="0"/>
          <w:sz w:val="28"/>
          <w:szCs w:val="28"/>
          <w:lang w:val="uk-UA"/>
        </w:rPr>
        <w:t>В даній роботі ми розглядаємо процес автоматизації стадії перекристалізації сирого продукту у виробництві фумарової кислоти. Схема складається з наступних об’єктів: реактор для приготування 1н соляної кислоти поз. 1, реактор для перекристалізації сирого продукту поз. 2, збірник 1н соляної кислоти поз. 3, мірник для 1н соляної кислоти поз. 4, теплообмінник поз. 5.</w:t>
      </w:r>
    </w:p>
    <w:p w14:paraId="0D6193F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lang w:val="uk-UA"/>
        </w:rPr>
      </w:pPr>
      <w:r>
        <w:rPr>
          <w:rFonts w:ascii="Times New Roman CYR" w:hAnsi="Times New Roman CYR" w:cs="Times New Roman CYR"/>
          <w:b/>
          <w:bCs/>
          <w:color w:val="000000"/>
          <w:kern w:val="0"/>
          <w:sz w:val="28"/>
          <w:szCs w:val="28"/>
          <w:lang w:val="uk-UA"/>
        </w:rPr>
        <w:t>Автоматизація реактора поз. 1.</w:t>
      </w:r>
    </w:p>
    <w:p w14:paraId="737621C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lang w:val="uk-UA"/>
        </w:rPr>
      </w:pPr>
      <w:r>
        <w:rPr>
          <w:rFonts w:ascii="Times New Roman CYR" w:hAnsi="Times New Roman CYR" w:cs="Times New Roman CYR"/>
          <w:color w:val="000000"/>
          <w:kern w:val="0"/>
          <w:sz w:val="28"/>
          <w:szCs w:val="28"/>
          <w:lang w:val="uk-UA"/>
        </w:rPr>
        <w:t xml:space="preserve">Приготування 1н соляної кислоти здійснюється шляхом змішування концентрованої 37%-ної 1н соляної кислоти з водою у співвідношенні 1:26,4 за масою. Таке співвідношення потоків вихідних речовин можна забезпечити використавши слідкувальну систему автоматичного регулювання співвідношення витрат. Для цього проводять вимірювання витрат в технологічному потоці соляної кислоти, що реалізується за допомогою встановлення звужувального пристрою 1-1, що приєднаний до пневматичного передавального пристрою 1-2, який передає на відстань сигнал до вторинного показу вального приладу 1-3, що в свою чергу обв’язаний з пропорційно-інтегральним пневматичним регулятором 1-4 співвідношення витрат ПР3.33М1 (система СТАРТ). Даний регулятор 1-4 безпосередньо </w:t>
      </w:r>
      <w:r>
        <w:rPr>
          <w:rFonts w:ascii="Times New Roman CYR" w:hAnsi="Times New Roman CYR" w:cs="Times New Roman CYR"/>
          <w:color w:val="000000"/>
          <w:kern w:val="0"/>
          <w:sz w:val="28"/>
          <w:szCs w:val="28"/>
          <w:lang w:val="uk-UA"/>
        </w:rPr>
        <w:lastRenderedPageBreak/>
        <w:t>зв’язаний з пневматичним виконавчим механізмом МИМП ППХ 05В з позиціонером ПП-1 і верхнім дублером (прилад 1-5 на схемі).</w:t>
      </w:r>
    </w:p>
    <w:p w14:paraId="15FBA2B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lang w:val="uk-UA"/>
        </w:rPr>
      </w:pPr>
      <w:r>
        <w:rPr>
          <w:rFonts w:ascii="Times New Roman CYR" w:hAnsi="Times New Roman CYR" w:cs="Times New Roman CYR"/>
          <w:color w:val="000000"/>
          <w:kern w:val="0"/>
          <w:sz w:val="28"/>
          <w:szCs w:val="28"/>
          <w:lang w:val="uk-UA"/>
        </w:rPr>
        <w:t>Оскільки процес розчинення соляної кислоти екзотермічний, то реактор поз. 1 обладнано системою вимірювання температури реакційної маси з метою контролю за витратами оборотної води (одноконтурна стабілізувальна система автоматичного регулювання температури з використанням панелі керування)</w:t>
      </w:r>
      <w:r>
        <w:rPr>
          <w:rFonts w:ascii="Times New Roman CYR" w:hAnsi="Times New Roman CYR" w:cs="Times New Roman CYR"/>
          <w:i/>
          <w:iCs/>
          <w:color w:val="000000"/>
          <w:kern w:val="0"/>
          <w:sz w:val="28"/>
          <w:szCs w:val="28"/>
          <w:lang w:val="uk-UA"/>
        </w:rPr>
        <w:t xml:space="preserve">. </w:t>
      </w:r>
      <w:r>
        <w:rPr>
          <w:rFonts w:ascii="Times New Roman CYR" w:hAnsi="Times New Roman CYR" w:cs="Times New Roman CYR"/>
          <w:color w:val="000000"/>
          <w:kern w:val="0"/>
          <w:sz w:val="28"/>
          <w:szCs w:val="28"/>
          <w:lang w:val="uk-UA"/>
        </w:rPr>
        <w:t>Для цього реактор має бути обладнаний спеціальною гільзою для термоелектричного перетворювача 3-1 для заміру температури; сигнал з 3-1 йде на вторинний показувальний і реєструвальний прилад ДИСК-250 із вмонтованим пропорційно-інтегральним регулювальним пристроєм з пневматичним вихідним сигналом 0,02-0,1 МПа 3-2, а з 3-2 на пневматичну панель керування ДПУ.1 3-3, далі пневмосигнал йде на мембранний пневмопривід В26-41 3-4, що регулює подачу оборотної води.</w:t>
      </w:r>
    </w:p>
    <w:p w14:paraId="719E406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lang w:val="uk-UA"/>
        </w:rPr>
      </w:pPr>
      <w:r>
        <w:rPr>
          <w:rFonts w:ascii="Times New Roman CYR" w:hAnsi="Times New Roman CYR" w:cs="Times New Roman CYR"/>
          <w:color w:val="000000"/>
          <w:kern w:val="0"/>
          <w:sz w:val="28"/>
          <w:szCs w:val="28"/>
          <w:lang w:val="uk-UA"/>
        </w:rPr>
        <w:t>Оскільки реактор не обладнаний мірним склом, а нам потрібно знати рівень рідини в реакторі, то реактор обладнують акустичним рівнеміром ЕХО-3, сигнал з якого йде на місцевий первинний перетворювач АП-3 позначений 4-1, далі через проміжний перетворювач ПП-3 позначений 4-2 сигнал подають на вторинний показувальний вузькопрофільний прилад М1830 позначений як 4-3. Готова 1н соляна кислота подається в збірник поз. 3, розрахований на об’єм кислоти на 2 операції перекристалізації.</w:t>
      </w:r>
    </w:p>
    <w:p w14:paraId="5F19041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lang w:val="uk-UA"/>
        </w:rPr>
      </w:pPr>
      <w:r>
        <w:rPr>
          <w:rFonts w:ascii="Times New Roman CYR" w:hAnsi="Times New Roman CYR" w:cs="Times New Roman CYR"/>
          <w:b/>
          <w:bCs/>
          <w:color w:val="000000"/>
          <w:kern w:val="0"/>
          <w:sz w:val="28"/>
          <w:szCs w:val="28"/>
          <w:lang w:val="uk-UA"/>
        </w:rPr>
        <w:t>Автоматизація реактора поз. 2.</w:t>
      </w:r>
    </w:p>
    <w:p w14:paraId="5DBF809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lang w:val="uk-UA"/>
        </w:rPr>
      </w:pPr>
      <w:r>
        <w:rPr>
          <w:rFonts w:ascii="Times New Roman CYR" w:hAnsi="Times New Roman CYR" w:cs="Times New Roman CYR"/>
          <w:color w:val="000000"/>
          <w:kern w:val="0"/>
          <w:sz w:val="28"/>
          <w:szCs w:val="28"/>
          <w:lang w:val="uk-UA"/>
        </w:rPr>
        <w:t xml:space="preserve">В даному реакторі відбувається безпосередньо перекристалізація сирої фумарової кислоти з 1н розчину соляної кислоти. Сира фумарова кислота загружається у реактор поз. 2 за допомогою шнекового постачальника. Перекристалізація ведеться при температурі </w:t>
      </w:r>
      <w:r>
        <w:rPr>
          <w:rFonts w:ascii="Cambria Math" w:hAnsi="Cambria Math" w:cs="Cambria Math"/>
          <w:color w:val="000000"/>
          <w:kern w:val="0"/>
          <w:sz w:val="28"/>
          <w:szCs w:val="28"/>
          <w:lang w:val="uk-UA"/>
        </w:rPr>
        <w:t>≈</w:t>
      </w:r>
      <w:r>
        <w:rPr>
          <w:rFonts w:ascii="Times New Roman CYR" w:hAnsi="Times New Roman CYR" w:cs="Times New Roman CYR"/>
          <w:color w:val="000000"/>
          <w:kern w:val="0"/>
          <w:sz w:val="28"/>
          <w:szCs w:val="28"/>
          <w:lang w:val="uk-UA"/>
        </w:rPr>
        <w:t xml:space="preserve">100°С, тобто суміш нагрівається до кипіння. Нагрівання здійснюється перегрітою водою з температурою 109°С. Для контролю та підтримання температури реакційної маси реактор поз. 2 аналогічно до реактора поз. 1 має бути обладнаний спеціальною гільзою для </w:t>
      </w:r>
      <w:r>
        <w:rPr>
          <w:rFonts w:ascii="Times New Roman CYR" w:hAnsi="Times New Roman CYR" w:cs="Times New Roman CYR"/>
          <w:color w:val="000000"/>
          <w:kern w:val="0"/>
          <w:sz w:val="28"/>
          <w:szCs w:val="28"/>
          <w:lang w:val="uk-UA"/>
        </w:rPr>
        <w:lastRenderedPageBreak/>
        <w:t>термоелектричного перетворювача 8-1 для заміру температури; сигнал з 8-1 йде на вторинний показувальний і реєструвальний прилад ДИСК-250 із вмонтованим пропорційно-інтегральним регулювальним пристроєм з пневматичним вихідним сигналом 0,02-0,1 МПа 8-2, а з 8-2 на пневматичну панель керування ДПУ.1 8-3, далі пневмосигнал йде на мембранний пневмопривід В26-41 8-4, що регулює подачу гарячої води.</w:t>
      </w:r>
    </w:p>
    <w:p w14:paraId="16B5C3B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lang w:val="uk-UA"/>
        </w:rPr>
      </w:pPr>
      <w:r>
        <w:rPr>
          <w:rFonts w:ascii="Times New Roman CYR" w:hAnsi="Times New Roman CYR" w:cs="Times New Roman CYR"/>
          <w:color w:val="000000"/>
          <w:kern w:val="0"/>
          <w:sz w:val="28"/>
          <w:szCs w:val="28"/>
          <w:lang w:val="uk-UA"/>
        </w:rPr>
        <w:t>Для вимірювання рівня заповнення реактор поз. 2 обладнаний акустичним рівнеміром ЕХО-3, сигнал з якого йде на місцевий первинний перетворювач АП-3 позначений 4-1, далі через проміжний перетворювач ПП-3 позначений 4-2 сигнал подають на вторинний показувальний вузькопрофільний прилад М1830 позначений як 4-3. Реакційна маса після перекристалізації подається на нутч-фільтр.</w:t>
      </w:r>
    </w:p>
    <w:p w14:paraId="5622955B"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lang w:val="uk-UA"/>
        </w:rPr>
      </w:pPr>
      <w:r>
        <w:rPr>
          <w:rFonts w:ascii="Times New Roman CYR" w:hAnsi="Times New Roman CYR" w:cs="Times New Roman CYR"/>
          <w:b/>
          <w:bCs/>
          <w:color w:val="000000"/>
          <w:kern w:val="0"/>
          <w:sz w:val="28"/>
          <w:szCs w:val="28"/>
          <w:lang w:val="uk-UA"/>
        </w:rPr>
        <w:t>Автоматизація збірника поз. 3.</w:t>
      </w:r>
    </w:p>
    <w:p w14:paraId="07C8954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lang w:val="uk-UA"/>
        </w:rPr>
      </w:pPr>
      <w:r>
        <w:rPr>
          <w:rFonts w:ascii="Times New Roman CYR" w:hAnsi="Times New Roman CYR" w:cs="Times New Roman CYR"/>
          <w:color w:val="000000"/>
          <w:kern w:val="0"/>
          <w:sz w:val="28"/>
          <w:szCs w:val="28"/>
          <w:lang w:val="uk-UA"/>
        </w:rPr>
        <w:t>Оскільки збірник поз. 3 розрахований на 2 операційних об’єми, то необхідно обладнати його акустичним рівнеміром ЕХО-3, сигнал з якого йде на місцевий первинний перетворювач АП-3 позначений 5-1, а далі через проміжний перетворювач ПП-3 позначений 5-2 сигнал йде на вторинний показувальний вузькопрофільний прилад М1830 5-3. Із збірника поз. 3 1н соляна кислота подається в мірник поз. 4, розрахований на 1 операційній об’єм кислоти.</w:t>
      </w:r>
    </w:p>
    <w:p w14:paraId="3513C11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lang w:val="uk-UA"/>
        </w:rPr>
      </w:pPr>
      <w:r>
        <w:rPr>
          <w:rFonts w:ascii="Times New Roman CYR" w:hAnsi="Times New Roman CYR" w:cs="Times New Roman CYR"/>
          <w:b/>
          <w:bCs/>
          <w:color w:val="000000"/>
          <w:kern w:val="0"/>
          <w:sz w:val="28"/>
          <w:szCs w:val="28"/>
          <w:lang w:val="uk-UA"/>
        </w:rPr>
        <w:t>Автоматизація мірника поз. 4.</w:t>
      </w:r>
    </w:p>
    <w:p w14:paraId="51E3C30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lang w:val="uk-UA"/>
        </w:rPr>
      </w:pPr>
      <w:r>
        <w:rPr>
          <w:rFonts w:ascii="Times New Roman CYR" w:hAnsi="Times New Roman CYR" w:cs="Times New Roman CYR"/>
          <w:color w:val="000000"/>
          <w:kern w:val="0"/>
          <w:sz w:val="28"/>
          <w:szCs w:val="28"/>
          <w:lang w:val="uk-UA"/>
        </w:rPr>
        <w:t xml:space="preserve">Мірник слугує для відносно точного відмірювання об’єму соляної кислоти, необхідного для однієї операції перекристалізації. Отже, його необхідно обладнати рівнеміром. Обираємо акустичний рівнемір ЕХО-3, сигнал з якого йде на місцевий первинний перетворювач АП-3 позначений 6-1, далі через проміжний перетворювач ПП-3 позначений 5-2 сигнал поступає на вторинний показувальний вузькопрофільний прилад М1830 5-3. Із мірника поз. 4 1н соляна кислота подається самопливом в реактор для перекристалізації поз. </w:t>
      </w:r>
      <w:r>
        <w:rPr>
          <w:rFonts w:ascii="Times New Roman CYR" w:hAnsi="Times New Roman CYR" w:cs="Times New Roman CYR"/>
          <w:color w:val="000000"/>
          <w:kern w:val="0"/>
          <w:sz w:val="28"/>
          <w:szCs w:val="28"/>
          <w:lang w:val="uk-UA"/>
        </w:rPr>
        <w:lastRenderedPageBreak/>
        <w:t>2.</w:t>
      </w:r>
    </w:p>
    <w:p w14:paraId="29BDF9C7"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lang w:val="uk-UA"/>
        </w:rPr>
      </w:pPr>
      <w:r>
        <w:rPr>
          <w:rFonts w:ascii="Times New Roman CYR" w:hAnsi="Times New Roman CYR" w:cs="Times New Roman CYR"/>
          <w:b/>
          <w:bCs/>
          <w:color w:val="000000"/>
          <w:kern w:val="0"/>
          <w:sz w:val="28"/>
          <w:szCs w:val="28"/>
          <w:lang w:val="uk-UA"/>
        </w:rPr>
        <w:t>Автоматизація теплообмінника поз. 5.</w:t>
      </w:r>
    </w:p>
    <w:p w14:paraId="7824020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lang w:val="uk-UA"/>
        </w:rPr>
      </w:pPr>
      <w:r>
        <w:rPr>
          <w:rFonts w:ascii="Times New Roman CYR" w:hAnsi="Times New Roman CYR" w:cs="Times New Roman CYR"/>
          <w:color w:val="000000"/>
          <w:kern w:val="0"/>
          <w:sz w:val="28"/>
          <w:szCs w:val="28"/>
          <w:lang w:val="uk-UA"/>
        </w:rPr>
        <w:t>Оскільки в ході перекристалізації потрібно забезпечити повну конденсацію парів на виході з реактора, то необхідно підтримувати певну температуру конденсату на виході з теплообмінника поз. 5, а значить і певні витрати холодоагенту. Для цього на виході з теплообмінника ставимо термоелектричний перетворювач 9-1 для заміру температури, сигнал з 9-1 йде на нормувальний перетворювач 9-2, а далі пневмосигнал йде на вториний пневматичний показу вальний прилад 9-3 зі станцією керування; керуючий сигнал зі станції керування подають на пневматичний регулятор 9-4, який керує пневматичним виконавчим механізмом 4-5 який регулює подачу холодної води до теплообмінника.</w:t>
      </w:r>
    </w:p>
    <w:p w14:paraId="186EFCB2"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lang w:val="uk-UA"/>
        </w:rPr>
      </w:pPr>
    </w:p>
    <w:p w14:paraId="74E10204"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lang w:val="uk-UA"/>
        </w:rPr>
      </w:pPr>
      <w:r>
        <w:rPr>
          <w:rFonts w:ascii="Times New Roman CYR" w:hAnsi="Times New Roman CYR" w:cs="Times New Roman CYR"/>
          <w:b/>
          <w:bCs/>
          <w:color w:val="000000"/>
          <w:kern w:val="0"/>
          <w:sz w:val="28"/>
          <w:szCs w:val="28"/>
          <w:lang w:val="uk-UA"/>
        </w:rPr>
        <w:br w:type="page"/>
      </w:r>
      <w:r>
        <w:rPr>
          <w:rFonts w:ascii="Times New Roman CYR" w:hAnsi="Times New Roman CYR" w:cs="Times New Roman CYR"/>
          <w:b/>
          <w:bCs/>
          <w:color w:val="000000"/>
          <w:kern w:val="0"/>
          <w:sz w:val="28"/>
          <w:szCs w:val="28"/>
          <w:lang w:val="uk-UA"/>
        </w:rPr>
        <w:lastRenderedPageBreak/>
        <w:t>Висновки</w:t>
      </w:r>
    </w:p>
    <w:p w14:paraId="77174CFC" w14:textId="77777777" w:rsidR="00000000" w:rsidRDefault="00000000">
      <w:pPr>
        <w:widowControl w:val="0"/>
        <w:autoSpaceDE w:val="0"/>
        <w:autoSpaceDN w:val="0"/>
        <w:adjustRightInd w:val="0"/>
        <w:spacing w:after="0" w:line="360" w:lineRule="auto"/>
        <w:rPr>
          <w:rFonts w:ascii="Times New Roman CYR" w:hAnsi="Times New Roman CYR" w:cs="Times New Roman CYR"/>
          <w:color w:val="FFFFFF"/>
          <w:kern w:val="0"/>
          <w:sz w:val="28"/>
          <w:szCs w:val="28"/>
          <w:lang w:val="uk-UA"/>
        </w:rPr>
      </w:pPr>
      <w:r>
        <w:rPr>
          <w:rFonts w:ascii="Times New Roman CYR" w:hAnsi="Times New Roman CYR" w:cs="Times New Roman CYR"/>
          <w:color w:val="FFFFFF"/>
          <w:kern w:val="0"/>
          <w:sz w:val="28"/>
          <w:szCs w:val="28"/>
          <w:lang w:val="uk-UA"/>
        </w:rPr>
        <w:t>фумаровий кислота хлорат ванадій</w:t>
      </w:r>
    </w:p>
    <w:p w14:paraId="53F1515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lang w:val="uk-UA"/>
        </w:rPr>
      </w:pPr>
      <w:r>
        <w:rPr>
          <w:rFonts w:ascii="Times New Roman CYR" w:hAnsi="Times New Roman CYR" w:cs="Times New Roman CYR"/>
          <w:color w:val="000000"/>
          <w:kern w:val="0"/>
          <w:sz w:val="28"/>
          <w:szCs w:val="28"/>
          <w:lang w:val="uk-UA"/>
        </w:rPr>
        <w:t>У процесі виконання розрахункової роботи нами були отримані практичні знання та навички з таких питань:</w:t>
      </w:r>
    </w:p>
    <w:p w14:paraId="6BCB3353"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lang w:val="uk-UA"/>
        </w:rPr>
      </w:pPr>
      <w:r>
        <w:rPr>
          <w:rFonts w:ascii="Times New Roman CYR" w:hAnsi="Times New Roman CYR" w:cs="Times New Roman CYR"/>
          <w:color w:val="000000"/>
          <w:kern w:val="0"/>
          <w:sz w:val="28"/>
          <w:szCs w:val="28"/>
          <w:lang w:val="uk-UA"/>
        </w:rPr>
        <w:t>самостiйний аналiзу технологiчних процесiв з позицiй автоматизацiї;</w:t>
      </w:r>
    </w:p>
    <w:p w14:paraId="6D7CEF7C"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lang w:val="uk-UA"/>
        </w:rPr>
      </w:pPr>
      <w:r>
        <w:rPr>
          <w:rFonts w:ascii="Times New Roman CYR" w:hAnsi="Times New Roman CYR" w:cs="Times New Roman CYR"/>
          <w:color w:val="000000"/>
          <w:kern w:val="0"/>
          <w:sz w:val="28"/>
          <w:szCs w:val="28"/>
          <w:lang w:val="uk-UA"/>
        </w:rPr>
        <w:t>квалiфiковане формулювання завдання на автоматизацiю технологiчних процесiв;</w:t>
      </w:r>
    </w:p>
    <w:p w14:paraId="6CFC5D75"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lang w:val="uk-UA"/>
        </w:rPr>
      </w:pPr>
      <w:r>
        <w:rPr>
          <w:rFonts w:ascii="Times New Roman CYR" w:hAnsi="Times New Roman CYR" w:cs="Times New Roman CYR"/>
          <w:color w:val="000000"/>
          <w:kern w:val="0"/>
          <w:sz w:val="28"/>
          <w:szCs w:val="28"/>
          <w:lang w:val="uk-UA"/>
        </w:rPr>
        <w:t>засвоєння принципів дії та особливостей застосування основних типів первинних вимірювачів (датчиків) технологічних параметрів;</w:t>
      </w:r>
    </w:p>
    <w:p w14:paraId="289A439F"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lang w:val="uk-UA"/>
        </w:rPr>
      </w:pPr>
      <w:r>
        <w:rPr>
          <w:rFonts w:ascii="Times New Roman CYR" w:hAnsi="Times New Roman CYR" w:cs="Times New Roman CYR"/>
          <w:color w:val="000000"/>
          <w:kern w:val="0"/>
          <w:sz w:val="28"/>
          <w:szCs w:val="28"/>
          <w:lang w:val="uk-UA"/>
        </w:rPr>
        <w:t>ознайомлення з алгоритмами керування та функціональними можливостями автоматичних регуляторів (позиційних, аналогових, мікропроцесорних), особливостями конструкції та умовами експлуатації пристроїв безпосереднього впливу на технологічні процеси (виконавчі механізми та регулювальні органи);</w:t>
      </w:r>
    </w:p>
    <w:p w14:paraId="4120F6D0"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lang w:val="uk-UA"/>
        </w:rPr>
      </w:pPr>
      <w:r>
        <w:rPr>
          <w:rFonts w:ascii="Times New Roman CYR" w:hAnsi="Times New Roman CYR" w:cs="Times New Roman CYR"/>
          <w:color w:val="000000"/>
          <w:kern w:val="0"/>
          <w:sz w:val="28"/>
          <w:szCs w:val="28"/>
          <w:lang w:val="uk-UA"/>
        </w:rPr>
        <w:t>робота схем та пристроїв сигналізації, автоматичного блокування і захисту, дистанційного керування технологічним електроустаткуванням;</w:t>
      </w:r>
    </w:p>
    <w:p w14:paraId="28A9716A"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lang w:val="uk-UA"/>
        </w:rPr>
      </w:pPr>
      <w:r>
        <w:rPr>
          <w:rFonts w:ascii="Times New Roman CYR" w:hAnsi="Times New Roman CYR" w:cs="Times New Roman CYR"/>
          <w:color w:val="000000"/>
          <w:kern w:val="0"/>
          <w:sz w:val="28"/>
          <w:szCs w:val="28"/>
          <w:lang w:val="uk-UA"/>
        </w:rPr>
        <w:t>вдосконалення техніки читання та розробки схем автоматизацiї технологiчних процесiв, ознайомлення з чинними стандартами в царинi контролю та керування хіміко-технологiчними процесами.</w:t>
      </w:r>
    </w:p>
    <w:p w14:paraId="0770BFE9"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color w:val="000000"/>
          <w:kern w:val="0"/>
          <w:sz w:val="28"/>
          <w:szCs w:val="28"/>
          <w:lang w:val="uk-UA"/>
        </w:rPr>
      </w:pPr>
    </w:p>
    <w:p w14:paraId="0B7EFD4D"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lang w:val="uk-UA"/>
        </w:rPr>
      </w:pPr>
      <w:r>
        <w:rPr>
          <w:rFonts w:ascii="Times New Roman CYR" w:hAnsi="Times New Roman CYR" w:cs="Times New Roman CYR"/>
          <w:color w:val="000000"/>
          <w:kern w:val="0"/>
          <w:sz w:val="28"/>
          <w:szCs w:val="28"/>
          <w:lang w:val="uk-UA"/>
        </w:rPr>
        <w:br w:type="page"/>
      </w:r>
      <w:r>
        <w:rPr>
          <w:rFonts w:ascii="Times New Roman CYR" w:hAnsi="Times New Roman CYR" w:cs="Times New Roman CYR"/>
          <w:b/>
          <w:bCs/>
          <w:color w:val="000000"/>
          <w:kern w:val="0"/>
          <w:sz w:val="28"/>
          <w:szCs w:val="28"/>
          <w:lang w:val="uk-UA"/>
        </w:rPr>
        <w:lastRenderedPageBreak/>
        <w:t>Використана література</w:t>
      </w:r>
    </w:p>
    <w:p w14:paraId="21C83A88" w14:textId="77777777" w:rsidR="00000000" w:rsidRDefault="00000000">
      <w:pPr>
        <w:widowControl w:val="0"/>
        <w:autoSpaceDE w:val="0"/>
        <w:autoSpaceDN w:val="0"/>
        <w:adjustRightInd w:val="0"/>
        <w:spacing w:after="0" w:line="360" w:lineRule="auto"/>
        <w:ind w:firstLine="709"/>
        <w:jc w:val="both"/>
        <w:rPr>
          <w:rFonts w:ascii="Times New Roman CYR" w:hAnsi="Times New Roman CYR" w:cs="Times New Roman CYR"/>
          <w:b/>
          <w:bCs/>
          <w:color w:val="000000"/>
          <w:kern w:val="0"/>
          <w:sz w:val="28"/>
          <w:szCs w:val="28"/>
          <w:lang w:val="uk-UA"/>
        </w:rPr>
      </w:pPr>
    </w:p>
    <w:p w14:paraId="197A38CB" w14:textId="77777777" w:rsidR="00000000" w:rsidRDefault="00000000">
      <w:pPr>
        <w:widowControl w:val="0"/>
        <w:tabs>
          <w:tab w:val="left" w:pos="6237"/>
        </w:tabs>
        <w:autoSpaceDE w:val="0"/>
        <w:autoSpaceDN w:val="0"/>
        <w:adjustRightInd w:val="0"/>
        <w:spacing w:after="0" w:line="360" w:lineRule="auto"/>
        <w:jc w:val="both"/>
        <w:rPr>
          <w:rFonts w:ascii="Times New Roman CYR" w:hAnsi="Times New Roman CYR" w:cs="Times New Roman CYR"/>
          <w:color w:val="000000"/>
          <w:kern w:val="0"/>
          <w:sz w:val="28"/>
          <w:szCs w:val="28"/>
          <w:lang w:val="uk-UA"/>
        </w:rPr>
      </w:pPr>
      <w:r>
        <w:rPr>
          <w:rFonts w:ascii="Times New Roman CYR" w:hAnsi="Times New Roman CYR" w:cs="Times New Roman CYR"/>
          <w:color w:val="000000"/>
          <w:kern w:val="0"/>
          <w:sz w:val="28"/>
          <w:szCs w:val="28"/>
          <w:lang w:val="uk-UA"/>
        </w:rPr>
        <w:t>1. Керівництво до виконання розрахункової роботи з курсу «Контроль і керування хіміко-технологічними процесами», Розроб.: Лукінюк М.В., Київ, «Політехніка», 2012 р.</w:t>
      </w:r>
    </w:p>
    <w:p w14:paraId="00E17EDE" w14:textId="77777777" w:rsidR="00000000" w:rsidRDefault="00000000">
      <w:pPr>
        <w:widowControl w:val="0"/>
        <w:shd w:val="clear" w:color="auto" w:fill="FFFFFF"/>
        <w:tabs>
          <w:tab w:val="left" w:pos="142"/>
          <w:tab w:val="left" w:pos="284"/>
          <w:tab w:val="left" w:pos="426"/>
        </w:tabs>
        <w:autoSpaceDE w:val="0"/>
        <w:autoSpaceDN w:val="0"/>
        <w:adjustRightInd w:val="0"/>
        <w:spacing w:after="0" w:line="360" w:lineRule="auto"/>
        <w:jc w:val="both"/>
        <w:rPr>
          <w:rFonts w:ascii="Times New Roman CYR" w:hAnsi="Times New Roman CYR" w:cs="Times New Roman CYR"/>
          <w:color w:val="000000"/>
          <w:kern w:val="0"/>
          <w:sz w:val="28"/>
          <w:szCs w:val="28"/>
          <w:lang w:val="uk-UA"/>
        </w:rPr>
      </w:pPr>
      <w:r>
        <w:rPr>
          <w:rFonts w:ascii="Times New Roman CYR" w:hAnsi="Times New Roman CYR" w:cs="Times New Roman CYR"/>
          <w:color w:val="000000"/>
          <w:kern w:val="0"/>
          <w:sz w:val="28"/>
          <w:szCs w:val="28"/>
          <w:lang w:val="uk-UA"/>
        </w:rPr>
        <w:t>2. Анфімова Н.К., Захарова Т.І. «Прекристалізації фумарової кислоти». - М.: Технології, 2010. - 272 с.</w:t>
      </w:r>
    </w:p>
    <w:p w14:paraId="65CCCA30" w14:textId="77777777" w:rsidR="00AE6B8B" w:rsidRDefault="00000000">
      <w:pPr>
        <w:widowControl w:val="0"/>
        <w:shd w:val="clear" w:color="auto" w:fill="FFFFFF"/>
        <w:tabs>
          <w:tab w:val="left" w:pos="142"/>
          <w:tab w:val="left" w:pos="284"/>
          <w:tab w:val="left" w:pos="426"/>
        </w:tabs>
        <w:autoSpaceDE w:val="0"/>
        <w:autoSpaceDN w:val="0"/>
        <w:adjustRightInd w:val="0"/>
        <w:spacing w:after="0" w:line="360" w:lineRule="auto"/>
        <w:jc w:val="both"/>
        <w:rPr>
          <w:rFonts w:ascii="Times New Roman CYR" w:hAnsi="Times New Roman CYR" w:cs="Times New Roman CYR"/>
          <w:color w:val="000000"/>
          <w:kern w:val="0"/>
          <w:sz w:val="28"/>
          <w:szCs w:val="28"/>
          <w:lang w:val="uk-UA"/>
        </w:rPr>
      </w:pPr>
      <w:r>
        <w:rPr>
          <w:rFonts w:ascii="Times New Roman CYR" w:hAnsi="Times New Roman CYR" w:cs="Times New Roman CYR"/>
          <w:color w:val="000000"/>
          <w:kern w:val="0"/>
          <w:sz w:val="28"/>
          <w:szCs w:val="28"/>
          <w:lang w:val="uk-UA"/>
        </w:rPr>
        <w:t>. Доцяк В.С. Кислоти. К.: Вища шк., 2006. - 550 с.</w:t>
      </w:r>
    </w:p>
    <w:sectPr w:rsidR="00AE6B8B">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E90"/>
    <w:rsid w:val="000D0E90"/>
    <w:rsid w:val="0048421D"/>
    <w:rsid w:val="00AE6B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43A0261"/>
  <w14:defaultImageDpi w14:val="0"/>
  <w15:docId w15:val="{CB17525D-CD46-4086-86C0-AD018E4A9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1474</Words>
  <Characters>8402</Characters>
  <Application>Microsoft Office Word</Application>
  <DocSecurity>0</DocSecurity>
  <Lines>70</Lines>
  <Paragraphs>19</Paragraphs>
  <ScaleCrop>false</ScaleCrop>
  <Company/>
  <LinksUpToDate>false</LinksUpToDate>
  <CharactersWithSpaces>9857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2025-12-17T06:36:00Z</dcterms:created>
  <dcterms:modified xsi:type="dcterms:W3CDTF">2025-12-17T06:36:00Z</dcterms:modified>
</cp:coreProperties>
</file>