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E75E" w14:textId="77777777" w:rsidR="00000000" w:rsidRDefault="00000000">
      <w:pPr>
        <w:spacing w:line="360" w:lineRule="auto"/>
        <w:ind w:firstLine="709"/>
        <w:jc w:val="both"/>
        <w:rPr>
          <w:rFonts w:cs="Times New Roman Ïîëóæèðíûé"/>
          <w:b/>
          <w:bCs/>
          <w:caps/>
          <w:sz w:val="28"/>
          <w:szCs w:val="28"/>
        </w:rPr>
      </w:pPr>
      <w:r>
        <w:rPr>
          <w:rFonts w:cs="Times New Roman Ïîëóæèðíûé"/>
          <w:b/>
          <w:bCs/>
          <w:caps/>
          <w:sz w:val="28"/>
          <w:szCs w:val="28"/>
        </w:rPr>
        <w:t>Ïëàí</w:t>
      </w:r>
    </w:p>
    <w:p w14:paraId="2B95FF41" w14:textId="77777777" w:rsidR="00000000" w:rsidRDefault="00000000">
      <w:pPr>
        <w:spacing w:line="360" w:lineRule="auto"/>
        <w:ind w:firstLine="709"/>
        <w:jc w:val="both"/>
        <w:rPr>
          <w:rFonts w:ascii="Times New Roman CYR" w:hAnsi="Times New Roman CYR" w:cs="Times New Roman CYR"/>
          <w:b/>
          <w:bCs/>
          <w:sz w:val="28"/>
          <w:szCs w:val="28"/>
        </w:rPr>
      </w:pPr>
    </w:p>
    <w:p w14:paraId="346E2F10" w14:textId="77777777" w:rsidR="00000000" w:rsidRDefault="00000000">
      <w:pPr>
        <w:spacing w:line="360" w:lineRule="auto"/>
        <w:jc w:val="both"/>
        <w:rPr>
          <w:rFonts w:ascii="Times New Roman CYR" w:hAnsi="Times New Roman CYR" w:cs="Times New Roman CYR"/>
          <w:caps/>
          <w:sz w:val="28"/>
          <w:szCs w:val="28"/>
        </w:rPr>
      </w:pPr>
      <w:r>
        <w:rPr>
          <w:rFonts w:ascii="Times New Roman CYR" w:hAnsi="Times New Roman CYR" w:cs="Times New Roman CYR"/>
          <w:caps/>
          <w:sz w:val="28"/>
          <w:szCs w:val="28"/>
        </w:rPr>
        <w:t>Теория кислот и оснований. Буферные растворы</w:t>
      </w:r>
    </w:p>
    <w:p w14:paraId="02105979" w14:textId="77777777" w:rsidR="00000000"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Теория кислот и оснований</w:t>
      </w:r>
    </w:p>
    <w:p w14:paraId="48453692" w14:textId="77777777" w:rsidR="00000000" w:rsidRDefault="00000000">
      <w:pPr>
        <w:spacing w:line="360" w:lineRule="auto"/>
        <w:jc w:val="both"/>
        <w:rPr>
          <w:rFonts w:ascii="Times New Roman CYR" w:hAnsi="Times New Roman CYR" w:cs="Times New Roman CYR"/>
          <w:caps/>
          <w:sz w:val="28"/>
          <w:szCs w:val="28"/>
        </w:rPr>
      </w:pPr>
      <w:r>
        <w:rPr>
          <w:rFonts w:ascii="Times New Roman CYR" w:hAnsi="Times New Roman CYR" w:cs="Times New Roman CYR"/>
          <w:caps/>
          <w:sz w:val="28"/>
          <w:szCs w:val="28"/>
        </w:rPr>
        <w:t>Буферные растворы</w:t>
      </w:r>
    </w:p>
    <w:p w14:paraId="224B610D" w14:textId="77777777" w:rsidR="00000000"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Определение буферных систем и их классификация</w:t>
      </w:r>
    </w:p>
    <w:p w14:paraId="40D6EA51" w14:textId="77777777" w:rsidR="00000000"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Механизм действия буферных систем Вычисление рН и рОН буферных систем</w:t>
      </w:r>
    </w:p>
    <w:p w14:paraId="0FE800EB" w14:textId="77777777" w:rsidR="00000000"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Уравнение Гендерсона-Гассельбаха</w:t>
      </w:r>
    </w:p>
    <w:p w14:paraId="5277E287" w14:textId="77777777" w:rsidR="00000000"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Буферная емкость</w:t>
      </w:r>
    </w:p>
    <w:p w14:paraId="5C3A46DC" w14:textId="77777777" w:rsidR="00000000" w:rsidRDefault="00000000">
      <w:pPr>
        <w:spacing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rPr>
        <w:t>Буферные системы человеческого организма</w:t>
      </w:r>
    </w:p>
    <w:p w14:paraId="42BD3C64" w14:textId="77777777" w:rsidR="00000000" w:rsidRDefault="00000000">
      <w:pPr>
        <w:spacing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rPr>
        <w:t>Нарушения кислотно-оснoвного равновесия крови. Ацидоз. Алкалоз</w:t>
      </w:r>
    </w:p>
    <w:p w14:paraId="70C29354" w14:textId="77777777" w:rsidR="00000000"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СПИСОК ЛИТЕРАТУРЫ</w:t>
      </w:r>
    </w:p>
    <w:p w14:paraId="739AF6E6" w14:textId="77777777" w:rsidR="00000000" w:rsidRDefault="00000000">
      <w:pPr>
        <w:spacing w:line="360" w:lineRule="auto"/>
        <w:jc w:val="both"/>
        <w:rPr>
          <w:rFonts w:ascii="Times New Roman CYR" w:hAnsi="Times New Roman CYR" w:cs="Times New Roman CYR"/>
          <w:sz w:val="28"/>
          <w:szCs w:val="28"/>
        </w:rPr>
      </w:pPr>
    </w:p>
    <w:p w14:paraId="1AFEB949" w14:textId="77777777" w:rsidR="00000000" w:rsidRDefault="00000000">
      <w:pPr>
        <w:spacing w:line="360" w:lineRule="auto"/>
        <w:ind w:firstLine="709"/>
        <w:jc w:val="both"/>
        <w:rPr>
          <w:rFonts w:cs="Times New Roman Ïîëóæèðíûé"/>
          <w:b/>
          <w:bCs/>
          <w:caps/>
          <w:sz w:val="28"/>
          <w:szCs w:val="28"/>
        </w:rPr>
      </w:pPr>
      <w:r>
        <w:rPr>
          <w:rFonts w:ascii="Times New Roman CYR" w:hAnsi="Times New Roman CYR" w:cs="Times New Roman CYR"/>
          <w:sz w:val="28"/>
          <w:szCs w:val="28"/>
        </w:rPr>
        <w:br w:type="page"/>
      </w:r>
      <w:r>
        <w:rPr>
          <w:rFonts w:cs="Times New Roman Ïîëóæèðíûé"/>
          <w:b/>
          <w:bCs/>
          <w:caps/>
          <w:sz w:val="28"/>
          <w:szCs w:val="28"/>
        </w:rPr>
        <w:lastRenderedPageBreak/>
        <w:t>Òåîðèÿ êèñëîò è îñíîâàíèé. Áóôåðíûå ðàñòâîðû</w:t>
      </w:r>
    </w:p>
    <w:p w14:paraId="3916F65E" w14:textId="77777777" w:rsidR="00000000" w:rsidRDefault="00000000">
      <w:pPr>
        <w:pStyle w:val="2"/>
        <w:keepNext/>
        <w:suppressAutoHyphens/>
        <w:spacing w:line="360" w:lineRule="auto"/>
        <w:ind w:firstLine="709"/>
        <w:jc w:val="both"/>
        <w:rPr>
          <w:rFonts w:ascii="Times New Roman CYR" w:hAnsi="Times New Roman CYR" w:cs="Times New Roman CYR"/>
          <w:b/>
          <w:bCs/>
          <w:sz w:val="28"/>
          <w:szCs w:val="28"/>
        </w:rPr>
      </w:pPr>
    </w:p>
    <w:p w14:paraId="40F64D9D" w14:textId="77777777" w:rsidR="00000000" w:rsidRDefault="00000000">
      <w:pPr>
        <w:pStyle w:val="2"/>
        <w:keepNext/>
        <w:suppressAutoHyphens/>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Теория кислот и оснований</w:t>
      </w:r>
    </w:p>
    <w:p w14:paraId="440C553B" w14:textId="77777777" w:rsidR="00000000" w:rsidRDefault="00000000">
      <w:pPr>
        <w:spacing w:line="360" w:lineRule="auto"/>
        <w:ind w:firstLine="709"/>
        <w:jc w:val="both"/>
        <w:rPr>
          <w:rFonts w:ascii="Times New Roman CYR" w:hAnsi="Times New Roman CYR" w:cs="Times New Roman CYR"/>
          <w:sz w:val="28"/>
          <w:szCs w:val="28"/>
        </w:rPr>
      </w:pPr>
    </w:p>
    <w:p w14:paraId="282E801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Содержание понятий «кислота» и «основание» в процессе развития химической науки существенно менялось, оставаясь одним из основных вопросов химии.</w:t>
      </w:r>
    </w:p>
    <w:p w14:paraId="1AF3D88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1778 г. французским ученым Лавуазье была выдвинута «</w:t>
      </w:r>
      <w:r>
        <w:rPr>
          <w:rFonts w:ascii="Times New Roman CYR" w:hAnsi="Times New Roman CYR" w:cs="Times New Roman CYR"/>
          <w:b/>
          <w:bCs/>
          <w:sz w:val="28"/>
          <w:szCs w:val="28"/>
        </w:rPr>
        <w:t>кислородная теория кислот</w:t>
      </w:r>
      <w:r>
        <w:rPr>
          <w:rFonts w:ascii="Times New Roman CYR" w:hAnsi="Times New Roman CYR" w:cs="Times New Roman CYR"/>
          <w:sz w:val="28"/>
          <w:szCs w:val="28"/>
        </w:rPr>
        <w:t>», согласно которой общие свойства кислот обусловлены обязательным наличием в них атомов кислорода. Однако эта теория сразу же встретилась с затруднениями.</w:t>
      </w:r>
    </w:p>
    <w:p w14:paraId="17C69068" w14:textId="77777777" w:rsidR="00000000" w:rsidRDefault="00000000">
      <w:pPr>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Антуан Лоран Лавуазье (1743-1794)</w:t>
      </w:r>
    </w:p>
    <w:p w14:paraId="379EA5B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Антуан Лоран Лавуазье, выдающийся французский ученый, родился 26 августа 1743 г. в Париже. Он, как и Ломоносов, последовательно применял для решения основных проблем химии теоретические представления и методы физики своего времени, что позволило достигнуть очень важных научных результатов.</w:t>
      </w:r>
    </w:p>
    <w:p w14:paraId="5C47752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Большой заслугой Лавуазье является приведение в систему огромного фактического материала, накопленного химией. Он разработал (вместе с тремя другими французскими химиками) рациональную химическую номенклатуру, произвел точную классификацию всех известных в то время веществ (элементов и химических соединений).</w:t>
      </w:r>
    </w:p>
    <w:p w14:paraId="3C67458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Ряд соединений (соляная кислота </w:t>
      </w:r>
      <w:r>
        <w:rPr>
          <w:rFonts w:ascii="Times New Roman CYR" w:hAnsi="Times New Roman CYR" w:cs="Times New Roman CYR"/>
          <w:sz w:val="28"/>
          <w:szCs w:val="28"/>
          <w:lang w:val="en-US"/>
        </w:rPr>
        <w:t>HCl</w:t>
      </w:r>
      <w:r>
        <w:rPr>
          <w:rFonts w:ascii="Times New Roman CYR" w:hAnsi="Times New Roman CYR" w:cs="Times New Roman CYR"/>
          <w:sz w:val="28"/>
          <w:szCs w:val="28"/>
        </w:rPr>
        <w:t xml:space="preserve">, синильная кислота </w:t>
      </w:r>
      <w:r>
        <w:rPr>
          <w:rFonts w:ascii="Times New Roman CYR" w:hAnsi="Times New Roman CYR" w:cs="Times New Roman CYR"/>
          <w:sz w:val="28"/>
          <w:szCs w:val="28"/>
          <w:lang w:val="en-US"/>
        </w:rPr>
        <w:t>HCN</w:t>
      </w:r>
      <w:r>
        <w:rPr>
          <w:rFonts w:ascii="Times New Roman CYR" w:hAnsi="Times New Roman CYR" w:cs="Times New Roman CYR"/>
          <w:sz w:val="28"/>
          <w:szCs w:val="28"/>
        </w:rPr>
        <w:t xml:space="preserve"> и др.), обладающих ярко выраженными кислотными свойствами, тем не менее атомов кислорода в своем составе не имеют. В то же время оксиды металлов, также как и некоторые оксиды неметаллов, содержащие кислород, не обладают кислотными свойствами.</w:t>
      </w:r>
    </w:p>
    <w:p w14:paraId="60E3CB8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начале </w:t>
      </w:r>
      <w:r>
        <w:rPr>
          <w:rFonts w:ascii="Times New Roman CYR" w:hAnsi="Times New Roman CYR" w:cs="Times New Roman CYR"/>
          <w:sz w:val="28"/>
          <w:szCs w:val="28"/>
          <w:lang w:val="en-US"/>
        </w:rPr>
        <w:t>XIX</w:t>
      </w:r>
      <w:r>
        <w:rPr>
          <w:rFonts w:ascii="Times New Roman CYR" w:hAnsi="Times New Roman CYR" w:cs="Times New Roman CYR"/>
          <w:sz w:val="28"/>
          <w:szCs w:val="28"/>
        </w:rPr>
        <w:t xml:space="preserve"> века немецким ученым Юстусом Либихом была предложена </w:t>
      </w:r>
      <w:r>
        <w:rPr>
          <w:rFonts w:ascii="Times New Roman CYR" w:hAnsi="Times New Roman CYR" w:cs="Times New Roman CYR"/>
          <w:sz w:val="28"/>
          <w:szCs w:val="28"/>
        </w:rPr>
        <w:lastRenderedPageBreak/>
        <w:t>«</w:t>
      </w:r>
      <w:r>
        <w:rPr>
          <w:rFonts w:ascii="Times New Roman CYR" w:hAnsi="Times New Roman CYR" w:cs="Times New Roman CYR"/>
          <w:b/>
          <w:bCs/>
          <w:sz w:val="28"/>
          <w:szCs w:val="28"/>
        </w:rPr>
        <w:t>водородная теория кислот</w:t>
      </w:r>
      <w:r>
        <w:rPr>
          <w:rFonts w:ascii="Times New Roman CYR" w:hAnsi="Times New Roman CYR" w:cs="Times New Roman CYR"/>
          <w:sz w:val="28"/>
          <w:szCs w:val="28"/>
        </w:rPr>
        <w:t>», согласно которой кислотой является водородное соединение способное замещать атомы водорода на металл. Но данное определение не отражало наиболее существенного свойства кислот, благодаря которому эти вещества были выделены в особый класс соединений, - способности вступать в реакцию нейтрализации с основаниями.</w:t>
      </w:r>
    </w:p>
    <w:p w14:paraId="1E04A2D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конце </w:t>
      </w:r>
      <w:r>
        <w:rPr>
          <w:rFonts w:ascii="Times New Roman CYR" w:hAnsi="Times New Roman CYR" w:cs="Times New Roman CYR"/>
          <w:sz w:val="28"/>
          <w:szCs w:val="28"/>
          <w:lang w:val="en-US"/>
        </w:rPr>
        <w:t>XIX</w:t>
      </w:r>
      <w:r>
        <w:rPr>
          <w:rFonts w:ascii="Times New Roman CYR" w:hAnsi="Times New Roman CYR" w:cs="Times New Roman CYR"/>
          <w:sz w:val="28"/>
          <w:szCs w:val="28"/>
        </w:rPr>
        <w:t xml:space="preserve"> века немецким ученым Вильгельмом Оствальдом и шведским ученым Сванте Аррениусом на основании теории электролитической диссоциации были предложены новые определения кислот и оснований.</w:t>
      </w:r>
    </w:p>
    <w:p w14:paraId="32E7B19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теории Аррениуса-Оствальда кислотой называется электронейтральное вещество, которое при растворении в воде диссоциирует с образованием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а основанием - электронейтральное вещество, которое диссоциирует с образованием ионов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7D94395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Все общие свойства кислот - кислый вкус, действие на металлы, индикаторы и т.д. - являются свойствами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В свою очередь, все общие свойства оснований являются свойствами ионов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3A683F0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Реакция нейтрализации между кислотой и основанием, таким образом, обусловлена взаимодействием водородных и гидроксильных ионов, приводящих к образованию недиссоциированных молекул воды:</w:t>
      </w:r>
    </w:p>
    <w:p w14:paraId="4C47D985" w14:textId="77777777" w:rsidR="00000000" w:rsidRDefault="00000000">
      <w:pPr>
        <w:spacing w:line="360" w:lineRule="auto"/>
        <w:ind w:firstLine="709"/>
        <w:jc w:val="both"/>
        <w:rPr>
          <w:rFonts w:ascii="Times New Roman CYR" w:hAnsi="Times New Roman CYR" w:cs="Times New Roman CYR"/>
          <w:sz w:val="28"/>
          <w:szCs w:val="28"/>
        </w:rPr>
      </w:pPr>
    </w:p>
    <w:p w14:paraId="7B70B08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w:t>
      </w:r>
    </w:p>
    <w:p w14:paraId="2D3257B6" w14:textId="77777777" w:rsidR="00000000" w:rsidRDefault="00000000">
      <w:pPr>
        <w:spacing w:line="360" w:lineRule="auto"/>
        <w:ind w:firstLine="709"/>
        <w:jc w:val="both"/>
        <w:rPr>
          <w:rFonts w:ascii="Times New Roman CYR" w:hAnsi="Times New Roman CYR" w:cs="Times New Roman CYR"/>
          <w:sz w:val="28"/>
          <w:szCs w:val="28"/>
        </w:rPr>
      </w:pPr>
    </w:p>
    <w:p w14:paraId="7F5B9B0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Однако представления о кислотах и основаниях согласно теории Аррениуса-Оствальда также являются не всеобъемлющими и не удовлетворяют во многих случаях наблюдаемым экспериментальным фактам, особенно если они относятся к неводным растворам.</w:t>
      </w:r>
    </w:p>
    <w:p w14:paraId="785791C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 например, кислоты и основания могут взаимодействовать между собой и не будучи диссоциированы на ионы. В частности газообразный хлороводород реагирует с твердой щелочью:</w:t>
      </w:r>
    </w:p>
    <w:p w14:paraId="528002D0" w14:textId="77777777" w:rsidR="00000000" w:rsidRDefault="00000000">
      <w:pPr>
        <w:spacing w:line="360" w:lineRule="auto"/>
        <w:ind w:firstLine="709"/>
        <w:jc w:val="both"/>
        <w:rPr>
          <w:rFonts w:ascii="Times New Roman CYR" w:hAnsi="Times New Roman CYR" w:cs="Times New Roman CYR"/>
          <w:sz w:val="28"/>
          <w:szCs w:val="28"/>
        </w:rPr>
      </w:pPr>
    </w:p>
    <w:p w14:paraId="13F8D416" w14:textId="77777777" w:rsidR="00000000" w:rsidRDefault="00000000">
      <w:pPr>
        <w:spacing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rPr>
        <w:br w:type="page"/>
      </w:r>
      <w:r>
        <w:rPr>
          <w:rFonts w:ascii="Times New Roman CYR" w:hAnsi="Times New Roman CYR" w:cs="Times New Roman CYR"/>
          <w:sz w:val="28"/>
          <w:szCs w:val="28"/>
          <w:lang w:val="en-US"/>
        </w:rPr>
        <w:lastRenderedPageBreak/>
        <w:t>HCl + NaOH = NaCl + H</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p>
    <w:p w14:paraId="4BED0065" w14:textId="77777777" w:rsidR="00000000" w:rsidRDefault="00000000">
      <w:pPr>
        <w:spacing w:line="360" w:lineRule="auto"/>
        <w:ind w:firstLine="709"/>
        <w:jc w:val="both"/>
        <w:rPr>
          <w:rFonts w:ascii="Times New Roman CYR" w:hAnsi="Times New Roman CYR" w:cs="Times New Roman CYR"/>
          <w:sz w:val="28"/>
          <w:szCs w:val="28"/>
          <w:lang w:val="en-US"/>
        </w:rPr>
      </w:pPr>
    </w:p>
    <w:p w14:paraId="5E35099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Тот же хлороводород при растворении в бензоле совершенно не распадается на ионы, однако изменяет окраску индикатора и взаимодействует с металлами, выделяя газообразный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w:t>
      </w:r>
    </w:p>
    <w:p w14:paraId="33BCE89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Существует много реакций образования солей, аналогичных реакции нейтрализации, протекающих как в водной так и безводной среде, но без участия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 ионов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713334A1" w14:textId="77777777" w:rsidR="00000000" w:rsidRDefault="00000000">
      <w:pPr>
        <w:spacing w:line="360" w:lineRule="auto"/>
        <w:ind w:firstLine="709"/>
        <w:jc w:val="both"/>
        <w:rPr>
          <w:rFonts w:ascii="Times New Roman CYR" w:hAnsi="Times New Roman CYR" w:cs="Times New Roman CYR"/>
          <w:sz w:val="28"/>
          <w:szCs w:val="28"/>
        </w:rPr>
      </w:pPr>
    </w:p>
    <w:p w14:paraId="5476ED8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3(газ.)</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HCl</w:t>
      </w:r>
      <w:r>
        <w:rPr>
          <w:rFonts w:ascii="Times New Roman CYR" w:hAnsi="Times New Roman CYR" w:cs="Times New Roman CYR"/>
          <w:sz w:val="28"/>
          <w:szCs w:val="28"/>
          <w:vertAlign w:val="subscript"/>
        </w:rPr>
        <w:t>(газ.)</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bscript"/>
        </w:rPr>
        <w:t>(тв.)</w:t>
      </w:r>
    </w:p>
    <w:p w14:paraId="71839415" w14:textId="77777777" w:rsidR="00000000" w:rsidRDefault="00000000">
      <w:pPr>
        <w:spacing w:line="360" w:lineRule="auto"/>
        <w:ind w:firstLine="709"/>
        <w:jc w:val="both"/>
        <w:rPr>
          <w:rFonts w:ascii="Times New Roman CYR" w:hAnsi="Times New Roman CYR" w:cs="Times New Roman CYR"/>
          <w:sz w:val="28"/>
          <w:szCs w:val="28"/>
        </w:rPr>
      </w:pPr>
    </w:p>
    <w:p w14:paraId="5FD4D85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теория кислот и оснований Аррениуса-Оствальда полностью применима лишь к водным растворам веществ. Процессы, протекающие без участия растворителя, а также в неводных жидких средах, требуют существенного дополнения и обобщения данной теории.</w:t>
      </w:r>
    </w:p>
    <w:p w14:paraId="037DA05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Такой более общей теорией кислот и оснований явилась </w:t>
      </w:r>
      <w:r>
        <w:rPr>
          <w:rFonts w:ascii="Times New Roman CYR" w:hAnsi="Times New Roman CYR" w:cs="Times New Roman CYR"/>
          <w:b/>
          <w:bCs/>
          <w:sz w:val="28"/>
          <w:szCs w:val="28"/>
        </w:rPr>
        <w:t>протолитическая теория</w:t>
      </w:r>
      <w:r>
        <w:rPr>
          <w:rFonts w:ascii="Times New Roman CYR" w:hAnsi="Times New Roman CYR" w:cs="Times New Roman CYR"/>
          <w:sz w:val="28"/>
          <w:szCs w:val="28"/>
        </w:rPr>
        <w:t xml:space="preserve">, предложенная в 1923 г. независимо друг от друга датским ученым </w:t>
      </w:r>
      <w:r>
        <w:rPr>
          <w:rFonts w:ascii="Times New Roman CYR" w:hAnsi="Times New Roman CYR" w:cs="Times New Roman CYR"/>
          <w:b/>
          <w:bCs/>
          <w:sz w:val="28"/>
          <w:szCs w:val="28"/>
        </w:rPr>
        <w:t>Бренстедом</w:t>
      </w:r>
      <w:r>
        <w:rPr>
          <w:rFonts w:ascii="Times New Roman CYR" w:hAnsi="Times New Roman CYR" w:cs="Times New Roman CYR"/>
          <w:sz w:val="28"/>
          <w:szCs w:val="28"/>
        </w:rPr>
        <w:t xml:space="preserve"> и английским ученым </w:t>
      </w:r>
      <w:r>
        <w:rPr>
          <w:rFonts w:ascii="Times New Roman CYR" w:hAnsi="Times New Roman CYR" w:cs="Times New Roman CYR"/>
          <w:b/>
          <w:bCs/>
          <w:sz w:val="28"/>
          <w:szCs w:val="28"/>
        </w:rPr>
        <w:t>Лоури</w:t>
      </w:r>
      <w:r>
        <w:rPr>
          <w:rFonts w:ascii="Times New Roman CYR" w:hAnsi="Times New Roman CYR" w:cs="Times New Roman CYR"/>
          <w:sz w:val="28"/>
          <w:szCs w:val="28"/>
        </w:rPr>
        <w:t>.</w:t>
      </w:r>
    </w:p>
    <w:p w14:paraId="057CC55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Йоханнес Николаус Бренстед (1879-1947)</w:t>
      </w:r>
      <w:r>
        <w:rPr>
          <w:rFonts w:ascii="Times New Roman CYR" w:hAnsi="Times New Roman CYR" w:cs="Times New Roman CYR"/>
          <w:sz w:val="28"/>
          <w:szCs w:val="28"/>
        </w:rPr>
        <w:t xml:space="preserve"> - датский физикохимик. </w:t>
      </w:r>
      <w:r>
        <w:rPr>
          <w:rFonts w:ascii="Times New Roman CYR" w:hAnsi="Times New Roman CYR" w:cs="Times New Roman CYR"/>
          <w:b/>
          <w:bCs/>
          <w:sz w:val="28"/>
          <w:szCs w:val="28"/>
        </w:rPr>
        <w:t>Томас Мартин Лоури (1875 - 1936)</w:t>
      </w:r>
      <w:r>
        <w:rPr>
          <w:rFonts w:ascii="Times New Roman CYR" w:hAnsi="Times New Roman CYR" w:cs="Times New Roman CYR"/>
          <w:sz w:val="28"/>
          <w:szCs w:val="28"/>
        </w:rPr>
        <w:t xml:space="preserve"> - английский химик. Независимо друг от друга практически одновременно сформулировали основные положения протолитической теории кислот и оснований. </w:t>
      </w:r>
    </w:p>
    <w:p w14:paraId="1EAB094D"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Бренстед, основные работы которого посвящены термодинамике растворов и кислотно-основному катализу, разработал детали и количественное описание протолитической теории. Основной областью научных интересов Лоури были оптически активные органические соединения.</w:t>
      </w:r>
    </w:p>
    <w:p w14:paraId="2290840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Согласно этой теории кислотой называется всякая частица (молекула или ион), способная отдавать протон. Основанием является частица (молекула или </w:t>
      </w:r>
      <w:r>
        <w:rPr>
          <w:rFonts w:ascii="Times New Roman CYR" w:hAnsi="Times New Roman CYR" w:cs="Times New Roman CYR"/>
          <w:sz w:val="28"/>
          <w:szCs w:val="28"/>
        </w:rPr>
        <w:lastRenderedPageBreak/>
        <w:t>ион), способная присоединять протон.</w:t>
      </w:r>
    </w:p>
    <w:p w14:paraId="1D25A4B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Причем отдача иона водорода кислотой всегда происходит в присутствии основания, которое его должно присоединить. При диссоциации кислоты в растворе в роли основания выступают молекулы растворителя:</w:t>
      </w:r>
    </w:p>
    <w:p w14:paraId="482D8FDF"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885"/>
        <w:gridCol w:w="329"/>
        <w:gridCol w:w="1098"/>
        <w:gridCol w:w="416"/>
        <w:gridCol w:w="2266"/>
        <w:gridCol w:w="329"/>
        <w:gridCol w:w="2045"/>
      </w:tblGrid>
      <w:tr w:rsidR="00000000" w14:paraId="0480AC07" w14:textId="77777777">
        <w:tblPrEx>
          <w:tblCellMar>
            <w:top w:w="0" w:type="dxa"/>
            <w:bottom w:w="0" w:type="dxa"/>
          </w:tblCellMar>
        </w:tblPrEx>
        <w:tc>
          <w:tcPr>
            <w:tcW w:w="885" w:type="dxa"/>
            <w:tcBorders>
              <w:top w:val="nil"/>
              <w:left w:val="nil"/>
              <w:bottom w:val="nil"/>
              <w:right w:val="nil"/>
            </w:tcBorders>
          </w:tcPr>
          <w:p w14:paraId="16F5341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НА</w:t>
            </w:r>
          </w:p>
        </w:tc>
        <w:tc>
          <w:tcPr>
            <w:tcW w:w="329" w:type="dxa"/>
            <w:tcBorders>
              <w:top w:val="nil"/>
              <w:left w:val="nil"/>
              <w:bottom w:val="nil"/>
              <w:right w:val="nil"/>
            </w:tcBorders>
          </w:tcPr>
          <w:p w14:paraId="57DCBE5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4A7EAA8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w:t>
            </w:r>
          </w:p>
        </w:tc>
        <w:tc>
          <w:tcPr>
            <w:tcW w:w="416" w:type="dxa"/>
            <w:tcBorders>
              <w:top w:val="nil"/>
              <w:left w:val="nil"/>
              <w:bottom w:val="nil"/>
              <w:right w:val="nil"/>
            </w:tcBorders>
          </w:tcPr>
          <w:p w14:paraId="785FF8B7"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266" w:type="dxa"/>
            <w:tcBorders>
              <w:top w:val="nil"/>
              <w:left w:val="nil"/>
              <w:bottom w:val="nil"/>
              <w:right w:val="nil"/>
            </w:tcBorders>
          </w:tcPr>
          <w:p w14:paraId="14D58D3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А</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5F97B09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045" w:type="dxa"/>
            <w:tcBorders>
              <w:top w:val="nil"/>
              <w:left w:val="nil"/>
              <w:bottom w:val="nil"/>
              <w:right w:val="nil"/>
            </w:tcBorders>
          </w:tcPr>
          <w:p w14:paraId="595DF4A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О</w:t>
            </w:r>
            <w:r>
              <w:rPr>
                <w:rFonts w:ascii="Times New Roman CYR" w:hAnsi="Times New Roman CYR" w:cs="Times New Roman CYR"/>
                <w:sz w:val="20"/>
                <w:szCs w:val="20"/>
                <w:vertAlign w:val="superscript"/>
              </w:rPr>
              <w:t>+</w:t>
            </w:r>
          </w:p>
        </w:tc>
      </w:tr>
      <w:tr w:rsidR="00000000" w14:paraId="00711CD3" w14:textId="77777777">
        <w:tblPrEx>
          <w:tblCellMar>
            <w:top w:w="0" w:type="dxa"/>
            <w:bottom w:w="0" w:type="dxa"/>
          </w:tblCellMar>
        </w:tblPrEx>
        <w:tc>
          <w:tcPr>
            <w:tcW w:w="885" w:type="dxa"/>
            <w:tcBorders>
              <w:top w:val="nil"/>
              <w:left w:val="nil"/>
              <w:bottom w:val="nil"/>
              <w:right w:val="nil"/>
            </w:tcBorders>
          </w:tcPr>
          <w:p w14:paraId="575442D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5694F1B8"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2B0A01D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39F5D226"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268BE05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329" w:type="dxa"/>
            <w:tcBorders>
              <w:top w:val="nil"/>
              <w:left w:val="nil"/>
              <w:bottom w:val="nil"/>
              <w:right w:val="nil"/>
            </w:tcBorders>
          </w:tcPr>
          <w:p w14:paraId="5F2AFA1E" w14:textId="77777777" w:rsidR="00000000" w:rsidRDefault="00000000">
            <w:pPr>
              <w:rPr>
                <w:rFonts w:ascii="Times New Roman CYR" w:hAnsi="Times New Roman CYR" w:cs="Times New Roman CYR"/>
                <w:sz w:val="20"/>
                <w:szCs w:val="20"/>
              </w:rPr>
            </w:pPr>
          </w:p>
        </w:tc>
        <w:tc>
          <w:tcPr>
            <w:tcW w:w="2045" w:type="dxa"/>
            <w:tcBorders>
              <w:top w:val="nil"/>
              <w:left w:val="nil"/>
              <w:bottom w:val="nil"/>
              <w:right w:val="nil"/>
            </w:tcBorders>
          </w:tcPr>
          <w:p w14:paraId="0ECA42C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 кислота</w:t>
            </w:r>
          </w:p>
        </w:tc>
      </w:tr>
    </w:tbl>
    <w:p w14:paraId="0E6B6B2D" w14:textId="77777777" w:rsidR="00000000" w:rsidRDefault="00000000">
      <w:pPr>
        <w:spacing w:line="360" w:lineRule="auto"/>
        <w:ind w:firstLine="709"/>
        <w:jc w:val="both"/>
        <w:rPr>
          <w:rFonts w:ascii="Times New Roman CYR" w:hAnsi="Times New Roman CYR" w:cs="Times New Roman CYR"/>
          <w:sz w:val="28"/>
          <w:szCs w:val="28"/>
        </w:rPr>
      </w:pPr>
    </w:p>
    <w:p w14:paraId="49FB4A6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Образующаяся после отделения иона водорода частица А</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называется </w:t>
      </w:r>
      <w:r>
        <w:rPr>
          <w:rFonts w:ascii="Times New Roman CYR" w:hAnsi="Times New Roman CYR" w:cs="Times New Roman CYR"/>
          <w:b/>
          <w:bCs/>
          <w:sz w:val="28"/>
          <w:szCs w:val="28"/>
        </w:rPr>
        <w:t>сопряженным данной кислоте основанием</w:t>
      </w:r>
      <w:r>
        <w:rPr>
          <w:rFonts w:ascii="Times New Roman CYR" w:hAnsi="Times New Roman CYR" w:cs="Times New Roman CYR"/>
          <w:sz w:val="28"/>
          <w:szCs w:val="28"/>
        </w:rPr>
        <w:t>, т.к. она способна снова присоединять к себе ион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486156F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Соответственно, частица, полученная после присоединения к основанию иона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называется </w:t>
      </w:r>
      <w:r>
        <w:rPr>
          <w:rFonts w:ascii="Times New Roman CYR" w:hAnsi="Times New Roman CYR" w:cs="Times New Roman CYR"/>
          <w:b/>
          <w:bCs/>
          <w:sz w:val="28"/>
          <w:szCs w:val="28"/>
        </w:rPr>
        <w:t>сопряженной данному основанию кислотой</w:t>
      </w:r>
      <w:r>
        <w:rPr>
          <w:rFonts w:ascii="Times New Roman CYR" w:hAnsi="Times New Roman CYR" w:cs="Times New Roman CYR"/>
          <w:sz w:val="28"/>
          <w:szCs w:val="28"/>
        </w:rPr>
        <w:t>, т.к. способна отдавать его обратно:</w:t>
      </w:r>
    </w:p>
    <w:p w14:paraId="5951730E"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1098"/>
        <w:gridCol w:w="329"/>
        <w:gridCol w:w="434"/>
        <w:gridCol w:w="416"/>
        <w:gridCol w:w="1995"/>
      </w:tblGrid>
      <w:tr w:rsidR="00000000" w14:paraId="7CCC3E20" w14:textId="77777777">
        <w:tblPrEx>
          <w:tblCellMar>
            <w:top w:w="0" w:type="dxa"/>
            <w:bottom w:w="0" w:type="dxa"/>
          </w:tblCellMar>
        </w:tblPrEx>
        <w:tc>
          <w:tcPr>
            <w:tcW w:w="1098" w:type="dxa"/>
            <w:tcBorders>
              <w:top w:val="nil"/>
              <w:left w:val="nil"/>
              <w:bottom w:val="nil"/>
              <w:right w:val="nil"/>
            </w:tcBorders>
          </w:tcPr>
          <w:p w14:paraId="24B7C49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В</w:t>
            </w:r>
          </w:p>
        </w:tc>
        <w:tc>
          <w:tcPr>
            <w:tcW w:w="329" w:type="dxa"/>
            <w:tcBorders>
              <w:top w:val="nil"/>
              <w:left w:val="nil"/>
              <w:bottom w:val="nil"/>
              <w:right w:val="nil"/>
            </w:tcBorders>
          </w:tcPr>
          <w:p w14:paraId="38FCB86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434" w:type="dxa"/>
            <w:tcBorders>
              <w:top w:val="nil"/>
              <w:left w:val="nil"/>
              <w:bottom w:val="nil"/>
              <w:right w:val="nil"/>
            </w:tcBorders>
          </w:tcPr>
          <w:p w14:paraId="523B3D6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perscript"/>
              </w:rPr>
              <w:t>+</w:t>
            </w:r>
          </w:p>
        </w:tc>
        <w:tc>
          <w:tcPr>
            <w:tcW w:w="416" w:type="dxa"/>
            <w:tcBorders>
              <w:top w:val="nil"/>
              <w:left w:val="nil"/>
              <w:bottom w:val="nil"/>
              <w:right w:val="nil"/>
            </w:tcBorders>
          </w:tcPr>
          <w:p w14:paraId="45B08206"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1995" w:type="dxa"/>
            <w:tcBorders>
              <w:top w:val="nil"/>
              <w:left w:val="nil"/>
              <w:bottom w:val="nil"/>
              <w:right w:val="nil"/>
            </w:tcBorders>
          </w:tcPr>
          <w:p w14:paraId="1F78EA9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ВН</w:t>
            </w:r>
            <w:r>
              <w:rPr>
                <w:rFonts w:ascii="Times New Roman CYR" w:hAnsi="Times New Roman CYR" w:cs="Times New Roman CYR"/>
                <w:sz w:val="20"/>
                <w:szCs w:val="20"/>
                <w:vertAlign w:val="superscript"/>
              </w:rPr>
              <w:t>+</w:t>
            </w:r>
          </w:p>
        </w:tc>
      </w:tr>
      <w:tr w:rsidR="00000000" w14:paraId="3387EC07" w14:textId="77777777">
        <w:tblPrEx>
          <w:tblCellMar>
            <w:top w:w="0" w:type="dxa"/>
            <w:bottom w:w="0" w:type="dxa"/>
          </w:tblCellMar>
        </w:tblPrEx>
        <w:tc>
          <w:tcPr>
            <w:tcW w:w="1098" w:type="dxa"/>
            <w:tcBorders>
              <w:top w:val="nil"/>
              <w:left w:val="nil"/>
              <w:bottom w:val="nil"/>
              <w:right w:val="nil"/>
            </w:tcBorders>
          </w:tcPr>
          <w:p w14:paraId="4278565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329" w:type="dxa"/>
            <w:tcBorders>
              <w:top w:val="nil"/>
              <w:left w:val="nil"/>
              <w:bottom w:val="nil"/>
              <w:right w:val="nil"/>
            </w:tcBorders>
          </w:tcPr>
          <w:p w14:paraId="1D947C01" w14:textId="77777777" w:rsidR="00000000" w:rsidRDefault="00000000">
            <w:pPr>
              <w:rPr>
                <w:rFonts w:ascii="Times New Roman CYR" w:hAnsi="Times New Roman CYR" w:cs="Times New Roman CYR"/>
                <w:sz w:val="20"/>
                <w:szCs w:val="20"/>
              </w:rPr>
            </w:pPr>
          </w:p>
        </w:tc>
        <w:tc>
          <w:tcPr>
            <w:tcW w:w="434" w:type="dxa"/>
            <w:tcBorders>
              <w:top w:val="nil"/>
              <w:left w:val="nil"/>
              <w:bottom w:val="nil"/>
              <w:right w:val="nil"/>
            </w:tcBorders>
          </w:tcPr>
          <w:p w14:paraId="646601A3" w14:textId="77777777" w:rsidR="00000000" w:rsidRDefault="00000000">
            <w:pPr>
              <w:rPr>
                <w:rFonts w:ascii="Times New Roman CYR" w:hAnsi="Times New Roman CYR" w:cs="Times New Roman CYR"/>
                <w:sz w:val="20"/>
                <w:szCs w:val="20"/>
              </w:rPr>
            </w:pPr>
          </w:p>
        </w:tc>
        <w:tc>
          <w:tcPr>
            <w:tcW w:w="416" w:type="dxa"/>
            <w:tcBorders>
              <w:top w:val="nil"/>
              <w:left w:val="nil"/>
              <w:bottom w:val="nil"/>
              <w:right w:val="nil"/>
            </w:tcBorders>
          </w:tcPr>
          <w:p w14:paraId="3859AACC" w14:textId="77777777" w:rsidR="00000000" w:rsidRDefault="00000000">
            <w:pPr>
              <w:rPr>
                <w:rFonts w:ascii="Times New Roman CYR" w:hAnsi="Times New Roman CYR" w:cs="Times New Roman CYR"/>
                <w:sz w:val="20"/>
                <w:szCs w:val="20"/>
              </w:rPr>
            </w:pPr>
          </w:p>
        </w:tc>
        <w:tc>
          <w:tcPr>
            <w:tcW w:w="1995" w:type="dxa"/>
            <w:tcBorders>
              <w:top w:val="nil"/>
              <w:left w:val="nil"/>
              <w:bottom w:val="nil"/>
              <w:right w:val="nil"/>
            </w:tcBorders>
          </w:tcPr>
          <w:p w14:paraId="62FA331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сопряженнаякислота</w:t>
            </w:r>
          </w:p>
        </w:tc>
      </w:tr>
    </w:tbl>
    <w:p w14:paraId="00769220" w14:textId="77777777" w:rsidR="00000000" w:rsidRDefault="00000000">
      <w:pPr>
        <w:spacing w:line="360" w:lineRule="auto"/>
        <w:ind w:firstLine="709"/>
        <w:jc w:val="both"/>
        <w:rPr>
          <w:rFonts w:ascii="Times New Roman CYR" w:hAnsi="Times New Roman CYR" w:cs="Times New Roman CYR"/>
          <w:sz w:val="28"/>
          <w:szCs w:val="28"/>
        </w:rPr>
      </w:pPr>
    </w:p>
    <w:p w14:paraId="5FD0975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Кислота и основание в кислотно-основной паре взаимосвязаны друг с другом. Чем сильнее (слабее) кислота, тем слабее (сильнее) сопряженное с ней основание (табл. 13). Например, в водном растворе хлороводородная кислота </w:t>
      </w:r>
      <w:r>
        <w:rPr>
          <w:rFonts w:ascii="Times New Roman CYR" w:hAnsi="Times New Roman CYR" w:cs="Times New Roman CYR"/>
          <w:sz w:val="28"/>
          <w:szCs w:val="28"/>
          <w:lang w:val="en-US"/>
        </w:rPr>
        <w:t>HCl</w:t>
      </w:r>
      <w:r>
        <w:rPr>
          <w:rFonts w:ascii="Times New Roman CYR" w:hAnsi="Times New Roman CYR" w:cs="Times New Roman CYR"/>
          <w:sz w:val="28"/>
          <w:szCs w:val="28"/>
        </w:rPr>
        <w:t xml:space="preserve"> сильнее чем уксусная кислота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СООН поэтому ацетат ион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будет более сильным основанием чем хлорид ион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604AA38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Трактовка понятия «кислота» в протолитической теории Бренстеда-Лоури совпадает с теорией Аррениуса-Оствальда и лишь распространяет ее и на неводные растворы.</w:t>
      </w:r>
    </w:p>
    <w:p w14:paraId="2A7106F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случае же трактовки понятия «основание» подход совершенно другой. Например, гидроксид натрия </w:t>
      </w:r>
      <w:r>
        <w:rPr>
          <w:rFonts w:ascii="Times New Roman CYR" w:hAnsi="Times New Roman CYR" w:cs="Times New Roman CYR"/>
          <w:sz w:val="28"/>
          <w:szCs w:val="28"/>
          <w:lang w:val="en-US"/>
        </w:rPr>
        <w:t>NaOH</w:t>
      </w:r>
      <w:r>
        <w:rPr>
          <w:rFonts w:ascii="Times New Roman CYR" w:hAnsi="Times New Roman CYR" w:cs="Times New Roman CYR"/>
          <w:sz w:val="28"/>
          <w:szCs w:val="28"/>
        </w:rPr>
        <w:t xml:space="preserve"> считается основанием не потому что он диссоциирует с отщеплением гидроксид-иона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а потому что этот ион может присоединять к себе ион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с образованием молекулы воды. И именно его </w:t>
      </w:r>
      <w:r>
        <w:rPr>
          <w:rFonts w:ascii="Times New Roman CYR" w:hAnsi="Times New Roman CYR" w:cs="Times New Roman CYR"/>
          <w:sz w:val="28"/>
          <w:szCs w:val="28"/>
        </w:rPr>
        <w:lastRenderedPageBreak/>
        <w:t>следует считать основанием в данном случае. Причем основные свойства ион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проявляет в присутствии кислоты, способной отдать ему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При растворении основания в роли такой кислоты опять же выступают молекулы растворителя:</w:t>
      </w:r>
    </w:p>
    <w:p w14:paraId="4D258BD9"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1098"/>
        <w:gridCol w:w="329"/>
        <w:gridCol w:w="885"/>
        <w:gridCol w:w="416"/>
        <w:gridCol w:w="2045"/>
        <w:gridCol w:w="329"/>
        <w:gridCol w:w="2266"/>
      </w:tblGrid>
      <w:tr w:rsidR="00000000" w14:paraId="551D0120" w14:textId="77777777">
        <w:tblPrEx>
          <w:tblCellMar>
            <w:top w:w="0" w:type="dxa"/>
            <w:bottom w:w="0" w:type="dxa"/>
          </w:tblCellMar>
        </w:tblPrEx>
        <w:tc>
          <w:tcPr>
            <w:tcW w:w="1098" w:type="dxa"/>
            <w:tcBorders>
              <w:top w:val="nil"/>
              <w:left w:val="nil"/>
              <w:bottom w:val="nil"/>
              <w:right w:val="nil"/>
            </w:tcBorders>
          </w:tcPr>
          <w:p w14:paraId="3472D44E"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N</w:t>
            </w:r>
            <w:r>
              <w:rPr>
                <w:rFonts w:ascii="Times New Roman CYR" w:hAnsi="Times New Roman CYR" w:cs="Times New Roman CYR"/>
                <w:sz w:val="20"/>
                <w:szCs w:val="20"/>
              </w:rPr>
              <w:t>Н</w:t>
            </w:r>
            <w:r>
              <w:rPr>
                <w:rFonts w:ascii="Times New Roman CYR" w:hAnsi="Times New Roman CYR" w:cs="Times New Roman CYR"/>
                <w:sz w:val="20"/>
                <w:szCs w:val="20"/>
                <w:vertAlign w:val="subscript"/>
                <w:lang w:val="en-US"/>
              </w:rPr>
              <w:t>3</w:t>
            </w:r>
          </w:p>
        </w:tc>
        <w:tc>
          <w:tcPr>
            <w:tcW w:w="329" w:type="dxa"/>
            <w:tcBorders>
              <w:top w:val="nil"/>
              <w:left w:val="nil"/>
              <w:bottom w:val="nil"/>
              <w:right w:val="nil"/>
            </w:tcBorders>
          </w:tcPr>
          <w:p w14:paraId="3447915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885" w:type="dxa"/>
            <w:tcBorders>
              <w:top w:val="nil"/>
              <w:left w:val="nil"/>
              <w:bottom w:val="nil"/>
              <w:right w:val="nil"/>
            </w:tcBorders>
          </w:tcPr>
          <w:p w14:paraId="389EE09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HOH</w:t>
            </w:r>
          </w:p>
        </w:tc>
        <w:tc>
          <w:tcPr>
            <w:tcW w:w="416" w:type="dxa"/>
            <w:tcBorders>
              <w:top w:val="nil"/>
              <w:left w:val="nil"/>
              <w:bottom w:val="nil"/>
              <w:right w:val="nil"/>
            </w:tcBorders>
          </w:tcPr>
          <w:p w14:paraId="421AC69D"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045" w:type="dxa"/>
            <w:tcBorders>
              <w:top w:val="nil"/>
              <w:left w:val="nil"/>
              <w:bottom w:val="nil"/>
              <w:right w:val="nil"/>
            </w:tcBorders>
          </w:tcPr>
          <w:p w14:paraId="184252F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lang w:val="en-US"/>
              </w:rPr>
              <w:t>+</w:t>
            </w:r>
          </w:p>
        </w:tc>
        <w:tc>
          <w:tcPr>
            <w:tcW w:w="329" w:type="dxa"/>
            <w:tcBorders>
              <w:top w:val="nil"/>
              <w:left w:val="nil"/>
              <w:bottom w:val="nil"/>
              <w:right w:val="nil"/>
            </w:tcBorders>
          </w:tcPr>
          <w:p w14:paraId="4376D1E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66" w:type="dxa"/>
            <w:tcBorders>
              <w:top w:val="nil"/>
              <w:left w:val="nil"/>
              <w:bottom w:val="nil"/>
              <w:right w:val="nil"/>
            </w:tcBorders>
          </w:tcPr>
          <w:p w14:paraId="40609AB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w:t>
            </w:r>
            <w:r>
              <w:rPr>
                <w:rFonts w:ascii="Times New Roman CYR" w:hAnsi="Times New Roman CYR" w:cs="Times New Roman CYR"/>
                <w:sz w:val="20"/>
                <w:szCs w:val="20"/>
                <w:lang w:val="en-US"/>
              </w:rPr>
              <w:t>H</w:t>
            </w:r>
            <w:r>
              <w:rPr>
                <w:rFonts w:ascii="Times New Roman CYR" w:hAnsi="Times New Roman CYR" w:cs="Times New Roman CYR"/>
                <w:sz w:val="20"/>
                <w:szCs w:val="20"/>
                <w:vertAlign w:val="superscript"/>
              </w:rPr>
              <w:t>-</w:t>
            </w:r>
          </w:p>
        </w:tc>
      </w:tr>
      <w:tr w:rsidR="00000000" w14:paraId="5357122D" w14:textId="77777777">
        <w:tblPrEx>
          <w:tblCellMar>
            <w:top w:w="0" w:type="dxa"/>
            <w:bottom w:w="0" w:type="dxa"/>
          </w:tblCellMar>
        </w:tblPrEx>
        <w:tc>
          <w:tcPr>
            <w:tcW w:w="1098" w:type="dxa"/>
            <w:tcBorders>
              <w:top w:val="nil"/>
              <w:left w:val="nil"/>
              <w:bottom w:val="nil"/>
              <w:right w:val="nil"/>
            </w:tcBorders>
          </w:tcPr>
          <w:p w14:paraId="54C118D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329" w:type="dxa"/>
            <w:tcBorders>
              <w:top w:val="nil"/>
              <w:left w:val="nil"/>
              <w:bottom w:val="nil"/>
              <w:right w:val="nil"/>
            </w:tcBorders>
          </w:tcPr>
          <w:p w14:paraId="0EE3DA3D" w14:textId="77777777" w:rsidR="00000000" w:rsidRDefault="00000000">
            <w:pPr>
              <w:rPr>
                <w:rFonts w:ascii="Times New Roman CYR" w:hAnsi="Times New Roman CYR" w:cs="Times New Roman CYR"/>
                <w:sz w:val="20"/>
                <w:szCs w:val="20"/>
              </w:rPr>
            </w:pPr>
          </w:p>
        </w:tc>
        <w:tc>
          <w:tcPr>
            <w:tcW w:w="885" w:type="dxa"/>
            <w:tcBorders>
              <w:top w:val="nil"/>
              <w:left w:val="nil"/>
              <w:bottom w:val="nil"/>
              <w:right w:val="nil"/>
            </w:tcBorders>
          </w:tcPr>
          <w:p w14:paraId="5638049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416" w:type="dxa"/>
            <w:tcBorders>
              <w:top w:val="nil"/>
              <w:left w:val="nil"/>
              <w:bottom w:val="nil"/>
              <w:right w:val="nil"/>
            </w:tcBorders>
          </w:tcPr>
          <w:p w14:paraId="3E15EC8D" w14:textId="77777777" w:rsidR="00000000" w:rsidRDefault="00000000">
            <w:pPr>
              <w:rPr>
                <w:rFonts w:ascii="Times New Roman CYR" w:hAnsi="Times New Roman CYR" w:cs="Times New Roman CYR"/>
                <w:sz w:val="20"/>
                <w:szCs w:val="20"/>
              </w:rPr>
            </w:pPr>
          </w:p>
        </w:tc>
        <w:tc>
          <w:tcPr>
            <w:tcW w:w="2045" w:type="dxa"/>
            <w:tcBorders>
              <w:top w:val="nil"/>
              <w:left w:val="nil"/>
              <w:bottom w:val="nil"/>
              <w:right w:val="nil"/>
            </w:tcBorders>
          </w:tcPr>
          <w:p w14:paraId="6A20BE2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 кислота</w:t>
            </w:r>
          </w:p>
        </w:tc>
        <w:tc>
          <w:tcPr>
            <w:tcW w:w="329" w:type="dxa"/>
            <w:tcBorders>
              <w:top w:val="nil"/>
              <w:left w:val="nil"/>
              <w:bottom w:val="nil"/>
              <w:right w:val="nil"/>
            </w:tcBorders>
          </w:tcPr>
          <w:p w14:paraId="052CC634"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21BC640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4E611ED0" w14:textId="77777777" w:rsidR="00000000" w:rsidRDefault="00000000">
      <w:pPr>
        <w:spacing w:line="360" w:lineRule="auto"/>
        <w:ind w:firstLine="709"/>
        <w:jc w:val="both"/>
        <w:rPr>
          <w:rFonts w:ascii="Times New Roman CYR" w:hAnsi="Times New Roman CYR" w:cs="Times New Roman CYR"/>
          <w:sz w:val="28"/>
          <w:szCs w:val="28"/>
        </w:rPr>
      </w:pPr>
    </w:p>
    <w:p w14:paraId="7EE802ED"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Таблица 1 Значения р</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и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rPr>
        <w:t>в</w:t>
      </w:r>
      <w:r>
        <w:rPr>
          <w:rFonts w:ascii="Times New Roman CYR" w:hAnsi="Times New Roman CYR" w:cs="Times New Roman CYR"/>
          <w:sz w:val="28"/>
          <w:szCs w:val="28"/>
        </w:rPr>
        <w:t xml:space="preserve"> сопряженных кислот и оснований в разбавленных водных растворах</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6"/>
        <w:gridCol w:w="766"/>
        <w:gridCol w:w="2411"/>
        <w:gridCol w:w="766"/>
      </w:tblGrid>
      <w:tr w:rsidR="00000000" w14:paraId="1F6097FC"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25C5377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766" w:type="dxa"/>
            <w:tcBorders>
              <w:top w:val="single" w:sz="6" w:space="0" w:color="auto"/>
              <w:left w:val="single" w:sz="6" w:space="0" w:color="auto"/>
              <w:bottom w:val="single" w:sz="6" w:space="0" w:color="auto"/>
              <w:right w:val="single" w:sz="6" w:space="0" w:color="auto"/>
            </w:tcBorders>
          </w:tcPr>
          <w:p w14:paraId="19EE4D6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р</w:t>
            </w:r>
            <w:r>
              <w:rPr>
                <w:rFonts w:ascii="Times New Roman CYR" w:hAnsi="Times New Roman CYR" w:cs="Times New Roman CYR"/>
                <w:sz w:val="20"/>
                <w:szCs w:val="20"/>
                <w:lang w:val="en-US"/>
              </w:rPr>
              <w:t>K</w:t>
            </w:r>
            <w:r>
              <w:rPr>
                <w:rFonts w:ascii="Times New Roman CYR" w:hAnsi="Times New Roman CYR" w:cs="Times New Roman CYR"/>
                <w:sz w:val="20"/>
                <w:szCs w:val="20"/>
                <w:vertAlign w:val="subscript"/>
                <w:lang w:val="en-US"/>
              </w:rPr>
              <w:t>a</w:t>
            </w:r>
          </w:p>
        </w:tc>
        <w:tc>
          <w:tcPr>
            <w:tcW w:w="2411" w:type="dxa"/>
            <w:tcBorders>
              <w:top w:val="single" w:sz="6" w:space="0" w:color="auto"/>
              <w:left w:val="single" w:sz="6" w:space="0" w:color="auto"/>
              <w:bottom w:val="single" w:sz="6" w:space="0" w:color="auto"/>
              <w:right w:val="single" w:sz="6" w:space="0" w:color="auto"/>
            </w:tcBorders>
          </w:tcPr>
          <w:p w14:paraId="661CAC4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766" w:type="dxa"/>
            <w:tcBorders>
              <w:top w:val="single" w:sz="6" w:space="0" w:color="auto"/>
              <w:left w:val="single" w:sz="6" w:space="0" w:color="auto"/>
              <w:bottom w:val="single" w:sz="6" w:space="0" w:color="auto"/>
              <w:right w:val="single" w:sz="6" w:space="0" w:color="auto"/>
            </w:tcBorders>
          </w:tcPr>
          <w:p w14:paraId="750A18A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pK</w:t>
            </w:r>
            <w:r>
              <w:rPr>
                <w:rFonts w:ascii="Times New Roman CYR" w:hAnsi="Times New Roman CYR" w:cs="Times New Roman CYR"/>
                <w:sz w:val="20"/>
                <w:szCs w:val="20"/>
                <w:vertAlign w:val="subscript"/>
              </w:rPr>
              <w:t>в</w:t>
            </w:r>
          </w:p>
        </w:tc>
      </w:tr>
      <w:tr w:rsidR="00000000" w14:paraId="0958C904"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57B365CD"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O</w:t>
            </w:r>
            <w:r>
              <w:rPr>
                <w:rFonts w:ascii="Times New Roman CYR" w:hAnsi="Times New Roman CYR" w:cs="Times New Roman CYR"/>
                <w:sz w:val="20"/>
                <w:szCs w:val="20"/>
                <w:vertAlign w:val="superscript"/>
                <w:lang w:val="en-US"/>
              </w:rPr>
              <w:t>+</w:t>
            </w:r>
          </w:p>
        </w:tc>
        <w:tc>
          <w:tcPr>
            <w:tcW w:w="766" w:type="dxa"/>
            <w:tcBorders>
              <w:top w:val="single" w:sz="6" w:space="0" w:color="auto"/>
              <w:left w:val="single" w:sz="6" w:space="0" w:color="auto"/>
              <w:bottom w:val="single" w:sz="6" w:space="0" w:color="auto"/>
              <w:right w:val="single" w:sz="6" w:space="0" w:color="auto"/>
            </w:tcBorders>
          </w:tcPr>
          <w:p w14:paraId="18555FB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-1,74</w:t>
            </w:r>
          </w:p>
        </w:tc>
        <w:tc>
          <w:tcPr>
            <w:tcW w:w="2411" w:type="dxa"/>
            <w:tcBorders>
              <w:top w:val="single" w:sz="6" w:space="0" w:color="auto"/>
              <w:left w:val="single" w:sz="6" w:space="0" w:color="auto"/>
              <w:bottom w:val="single" w:sz="6" w:space="0" w:color="auto"/>
              <w:right w:val="single" w:sz="6" w:space="0" w:color="auto"/>
            </w:tcBorders>
          </w:tcPr>
          <w:p w14:paraId="1E4594B9"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O</w:t>
            </w:r>
          </w:p>
        </w:tc>
        <w:tc>
          <w:tcPr>
            <w:tcW w:w="766" w:type="dxa"/>
            <w:tcBorders>
              <w:top w:val="single" w:sz="6" w:space="0" w:color="auto"/>
              <w:left w:val="single" w:sz="6" w:space="0" w:color="auto"/>
              <w:bottom w:val="single" w:sz="6" w:space="0" w:color="auto"/>
              <w:right w:val="single" w:sz="6" w:space="0" w:color="auto"/>
            </w:tcBorders>
          </w:tcPr>
          <w:p w14:paraId="6E673B3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15,74</w:t>
            </w:r>
          </w:p>
        </w:tc>
      </w:tr>
      <w:tr w:rsidR="00000000" w14:paraId="5B6EA67B"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2E244BF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HNO</w:t>
            </w:r>
            <w:r>
              <w:rPr>
                <w:rFonts w:ascii="Times New Roman CYR" w:hAnsi="Times New Roman CYR" w:cs="Times New Roman CYR"/>
                <w:sz w:val="20"/>
                <w:szCs w:val="20"/>
                <w:vertAlign w:val="subscript"/>
                <w:lang w:val="en-US"/>
              </w:rPr>
              <w:t>3</w:t>
            </w:r>
          </w:p>
        </w:tc>
        <w:tc>
          <w:tcPr>
            <w:tcW w:w="766" w:type="dxa"/>
            <w:tcBorders>
              <w:top w:val="single" w:sz="6" w:space="0" w:color="auto"/>
              <w:left w:val="single" w:sz="6" w:space="0" w:color="auto"/>
              <w:bottom w:val="single" w:sz="6" w:space="0" w:color="auto"/>
              <w:right w:val="single" w:sz="6" w:space="0" w:color="auto"/>
            </w:tcBorders>
          </w:tcPr>
          <w:p w14:paraId="4181F37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-1,32</w:t>
            </w:r>
          </w:p>
        </w:tc>
        <w:tc>
          <w:tcPr>
            <w:tcW w:w="2411" w:type="dxa"/>
            <w:tcBorders>
              <w:top w:val="single" w:sz="6" w:space="0" w:color="auto"/>
              <w:left w:val="single" w:sz="6" w:space="0" w:color="auto"/>
              <w:bottom w:val="single" w:sz="6" w:space="0" w:color="auto"/>
              <w:right w:val="single" w:sz="6" w:space="0" w:color="auto"/>
            </w:tcBorders>
          </w:tcPr>
          <w:p w14:paraId="31667F7D"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NO</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4435B50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15,32</w:t>
            </w:r>
          </w:p>
        </w:tc>
      </w:tr>
      <w:tr w:rsidR="00000000" w14:paraId="0789BFEF"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3EF5ADD3"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O</w:t>
            </w:r>
            <w:r>
              <w:rPr>
                <w:rFonts w:ascii="Times New Roman CYR" w:hAnsi="Times New Roman CYR" w:cs="Times New Roman CYR"/>
                <w:sz w:val="20"/>
                <w:szCs w:val="20"/>
                <w:vertAlign w:val="subscript"/>
                <w:lang w:val="en-US"/>
              </w:rPr>
              <w:t>4</w:t>
            </w:r>
          </w:p>
        </w:tc>
        <w:tc>
          <w:tcPr>
            <w:tcW w:w="766" w:type="dxa"/>
            <w:tcBorders>
              <w:top w:val="single" w:sz="6" w:space="0" w:color="auto"/>
              <w:left w:val="single" w:sz="6" w:space="0" w:color="auto"/>
              <w:bottom w:val="single" w:sz="6" w:space="0" w:color="auto"/>
              <w:right w:val="single" w:sz="6" w:space="0" w:color="auto"/>
            </w:tcBorders>
          </w:tcPr>
          <w:p w14:paraId="721A5C2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1,26</w:t>
            </w:r>
          </w:p>
        </w:tc>
        <w:tc>
          <w:tcPr>
            <w:tcW w:w="2411" w:type="dxa"/>
            <w:tcBorders>
              <w:top w:val="single" w:sz="6" w:space="0" w:color="auto"/>
              <w:left w:val="single" w:sz="6" w:space="0" w:color="auto"/>
              <w:bottom w:val="single" w:sz="6" w:space="0" w:color="auto"/>
              <w:right w:val="single" w:sz="6" w:space="0" w:color="auto"/>
            </w:tcBorders>
          </w:tcPr>
          <w:p w14:paraId="784D4E1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O</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48B94B4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12,74</w:t>
            </w:r>
          </w:p>
        </w:tc>
      </w:tr>
      <w:tr w:rsidR="00000000" w14:paraId="48160EDD"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4A94DED5"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SO</w:t>
            </w:r>
            <w:r>
              <w:rPr>
                <w:rFonts w:ascii="Times New Roman CYR" w:hAnsi="Times New Roman CYR" w:cs="Times New Roman CYR"/>
                <w:sz w:val="20"/>
                <w:szCs w:val="20"/>
                <w:vertAlign w:val="subscript"/>
                <w:lang w:val="en-US"/>
              </w:rPr>
              <w:t>3</w:t>
            </w:r>
          </w:p>
        </w:tc>
        <w:tc>
          <w:tcPr>
            <w:tcW w:w="766" w:type="dxa"/>
            <w:tcBorders>
              <w:top w:val="single" w:sz="6" w:space="0" w:color="auto"/>
              <w:left w:val="single" w:sz="6" w:space="0" w:color="auto"/>
              <w:bottom w:val="single" w:sz="6" w:space="0" w:color="auto"/>
              <w:right w:val="single" w:sz="6" w:space="0" w:color="auto"/>
            </w:tcBorders>
          </w:tcPr>
          <w:p w14:paraId="4C35754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1,92</w:t>
            </w:r>
          </w:p>
        </w:tc>
        <w:tc>
          <w:tcPr>
            <w:tcW w:w="2411" w:type="dxa"/>
            <w:tcBorders>
              <w:top w:val="single" w:sz="6" w:space="0" w:color="auto"/>
              <w:left w:val="single" w:sz="6" w:space="0" w:color="auto"/>
              <w:bottom w:val="single" w:sz="6" w:space="0" w:color="auto"/>
              <w:right w:val="single" w:sz="6" w:space="0" w:color="auto"/>
            </w:tcBorders>
          </w:tcPr>
          <w:p w14:paraId="39E043B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HSO</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6B91813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12,08</w:t>
            </w:r>
          </w:p>
        </w:tc>
      </w:tr>
      <w:tr w:rsidR="00000000" w14:paraId="4A746A4A"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11451B0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PO</w:t>
            </w:r>
            <w:r>
              <w:rPr>
                <w:rFonts w:ascii="Times New Roman CYR" w:hAnsi="Times New Roman CYR" w:cs="Times New Roman CYR"/>
                <w:sz w:val="20"/>
                <w:szCs w:val="20"/>
                <w:vertAlign w:val="subscript"/>
                <w:lang w:val="en-US"/>
              </w:rPr>
              <w:t>4</w:t>
            </w:r>
          </w:p>
        </w:tc>
        <w:tc>
          <w:tcPr>
            <w:tcW w:w="766" w:type="dxa"/>
            <w:tcBorders>
              <w:top w:val="single" w:sz="6" w:space="0" w:color="auto"/>
              <w:left w:val="single" w:sz="6" w:space="0" w:color="auto"/>
              <w:bottom w:val="single" w:sz="6" w:space="0" w:color="auto"/>
              <w:right w:val="single" w:sz="6" w:space="0" w:color="auto"/>
            </w:tcBorders>
          </w:tcPr>
          <w:p w14:paraId="232A1D0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2,12</w:t>
            </w:r>
          </w:p>
        </w:tc>
        <w:tc>
          <w:tcPr>
            <w:tcW w:w="2411" w:type="dxa"/>
            <w:tcBorders>
              <w:top w:val="single" w:sz="6" w:space="0" w:color="auto"/>
              <w:left w:val="single" w:sz="6" w:space="0" w:color="auto"/>
              <w:bottom w:val="single" w:sz="6" w:space="0" w:color="auto"/>
              <w:right w:val="single" w:sz="6" w:space="0" w:color="auto"/>
            </w:tcBorders>
          </w:tcPr>
          <w:p w14:paraId="21A96932"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PO</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7B35651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11,88</w:t>
            </w:r>
          </w:p>
        </w:tc>
      </w:tr>
      <w:tr w:rsidR="00000000" w14:paraId="6B772717"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6F1E7C9C"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HF</w:t>
            </w:r>
          </w:p>
        </w:tc>
        <w:tc>
          <w:tcPr>
            <w:tcW w:w="766" w:type="dxa"/>
            <w:tcBorders>
              <w:top w:val="single" w:sz="6" w:space="0" w:color="auto"/>
              <w:left w:val="single" w:sz="6" w:space="0" w:color="auto"/>
              <w:bottom w:val="single" w:sz="6" w:space="0" w:color="auto"/>
              <w:right w:val="single" w:sz="6" w:space="0" w:color="auto"/>
            </w:tcBorders>
          </w:tcPr>
          <w:p w14:paraId="7F9F63C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3,14</w:t>
            </w:r>
          </w:p>
        </w:tc>
        <w:tc>
          <w:tcPr>
            <w:tcW w:w="2411" w:type="dxa"/>
            <w:tcBorders>
              <w:top w:val="single" w:sz="6" w:space="0" w:color="auto"/>
              <w:left w:val="single" w:sz="6" w:space="0" w:color="auto"/>
              <w:bottom w:val="single" w:sz="6" w:space="0" w:color="auto"/>
              <w:right w:val="single" w:sz="6" w:space="0" w:color="auto"/>
            </w:tcBorders>
          </w:tcPr>
          <w:p w14:paraId="20C4CED9"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F</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39401BC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10,86</w:t>
            </w:r>
          </w:p>
        </w:tc>
      </w:tr>
      <w:tr w:rsidR="00000000" w14:paraId="3FA309F7"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55239038"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CH</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COOH</w:t>
            </w:r>
          </w:p>
        </w:tc>
        <w:tc>
          <w:tcPr>
            <w:tcW w:w="766" w:type="dxa"/>
            <w:tcBorders>
              <w:top w:val="single" w:sz="6" w:space="0" w:color="auto"/>
              <w:left w:val="single" w:sz="6" w:space="0" w:color="auto"/>
              <w:bottom w:val="single" w:sz="6" w:space="0" w:color="auto"/>
              <w:right w:val="single" w:sz="6" w:space="0" w:color="auto"/>
            </w:tcBorders>
          </w:tcPr>
          <w:p w14:paraId="50609FB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4,76</w:t>
            </w:r>
          </w:p>
        </w:tc>
        <w:tc>
          <w:tcPr>
            <w:tcW w:w="2411" w:type="dxa"/>
            <w:tcBorders>
              <w:top w:val="single" w:sz="6" w:space="0" w:color="auto"/>
              <w:left w:val="single" w:sz="6" w:space="0" w:color="auto"/>
              <w:bottom w:val="single" w:sz="6" w:space="0" w:color="auto"/>
              <w:right w:val="single" w:sz="6" w:space="0" w:color="auto"/>
            </w:tcBorders>
          </w:tcPr>
          <w:p w14:paraId="25DC147C"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CH</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COO</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070AAD3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9,24</w:t>
            </w:r>
          </w:p>
        </w:tc>
      </w:tr>
      <w:tr w:rsidR="00000000" w14:paraId="56FFC48B"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6CC22869"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S</w:t>
            </w:r>
          </w:p>
        </w:tc>
        <w:tc>
          <w:tcPr>
            <w:tcW w:w="766" w:type="dxa"/>
            <w:tcBorders>
              <w:top w:val="single" w:sz="6" w:space="0" w:color="auto"/>
              <w:left w:val="single" w:sz="6" w:space="0" w:color="auto"/>
              <w:bottom w:val="single" w:sz="6" w:space="0" w:color="auto"/>
              <w:right w:val="single" w:sz="6" w:space="0" w:color="auto"/>
            </w:tcBorders>
          </w:tcPr>
          <w:p w14:paraId="6F95429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7,05</w:t>
            </w:r>
          </w:p>
        </w:tc>
        <w:tc>
          <w:tcPr>
            <w:tcW w:w="2411" w:type="dxa"/>
            <w:tcBorders>
              <w:top w:val="single" w:sz="6" w:space="0" w:color="auto"/>
              <w:left w:val="single" w:sz="6" w:space="0" w:color="auto"/>
              <w:bottom w:val="single" w:sz="6" w:space="0" w:color="auto"/>
              <w:right w:val="single" w:sz="6" w:space="0" w:color="auto"/>
            </w:tcBorders>
          </w:tcPr>
          <w:p w14:paraId="4C29BEFA"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HS</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7890685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6,95</w:t>
            </w:r>
          </w:p>
        </w:tc>
      </w:tr>
      <w:tr w:rsidR="00000000" w14:paraId="6E84A1F0"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2D23FAEA"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lang w:val="en-US"/>
              </w:rPr>
              <w:t>+</w:t>
            </w:r>
          </w:p>
        </w:tc>
        <w:tc>
          <w:tcPr>
            <w:tcW w:w="766" w:type="dxa"/>
            <w:tcBorders>
              <w:top w:val="single" w:sz="6" w:space="0" w:color="auto"/>
              <w:left w:val="single" w:sz="6" w:space="0" w:color="auto"/>
              <w:bottom w:val="single" w:sz="6" w:space="0" w:color="auto"/>
              <w:right w:val="single" w:sz="6" w:space="0" w:color="auto"/>
            </w:tcBorders>
          </w:tcPr>
          <w:p w14:paraId="585DA47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9,25</w:t>
            </w:r>
          </w:p>
        </w:tc>
        <w:tc>
          <w:tcPr>
            <w:tcW w:w="2411" w:type="dxa"/>
            <w:tcBorders>
              <w:top w:val="single" w:sz="6" w:space="0" w:color="auto"/>
              <w:left w:val="single" w:sz="6" w:space="0" w:color="auto"/>
              <w:bottom w:val="single" w:sz="6" w:space="0" w:color="auto"/>
              <w:right w:val="single" w:sz="6" w:space="0" w:color="auto"/>
            </w:tcBorders>
          </w:tcPr>
          <w:p w14:paraId="1B7C6C8A"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3</w:t>
            </w:r>
          </w:p>
        </w:tc>
        <w:tc>
          <w:tcPr>
            <w:tcW w:w="766" w:type="dxa"/>
            <w:tcBorders>
              <w:top w:val="single" w:sz="6" w:space="0" w:color="auto"/>
              <w:left w:val="single" w:sz="6" w:space="0" w:color="auto"/>
              <w:bottom w:val="single" w:sz="6" w:space="0" w:color="auto"/>
              <w:right w:val="single" w:sz="6" w:space="0" w:color="auto"/>
            </w:tcBorders>
          </w:tcPr>
          <w:p w14:paraId="0F5C99C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4,75</w:t>
            </w:r>
          </w:p>
        </w:tc>
      </w:tr>
      <w:tr w:rsidR="00000000" w14:paraId="0DB5EEE7"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71455FEF"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HCN</w:t>
            </w:r>
          </w:p>
        </w:tc>
        <w:tc>
          <w:tcPr>
            <w:tcW w:w="766" w:type="dxa"/>
            <w:tcBorders>
              <w:top w:val="single" w:sz="6" w:space="0" w:color="auto"/>
              <w:left w:val="single" w:sz="6" w:space="0" w:color="auto"/>
              <w:bottom w:val="single" w:sz="6" w:space="0" w:color="auto"/>
              <w:right w:val="single" w:sz="6" w:space="0" w:color="auto"/>
            </w:tcBorders>
          </w:tcPr>
          <w:p w14:paraId="0D7E357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9,22</w:t>
            </w:r>
          </w:p>
        </w:tc>
        <w:tc>
          <w:tcPr>
            <w:tcW w:w="2411" w:type="dxa"/>
            <w:tcBorders>
              <w:top w:val="single" w:sz="6" w:space="0" w:color="auto"/>
              <w:left w:val="single" w:sz="6" w:space="0" w:color="auto"/>
              <w:bottom w:val="single" w:sz="6" w:space="0" w:color="auto"/>
              <w:right w:val="single" w:sz="6" w:space="0" w:color="auto"/>
            </w:tcBorders>
          </w:tcPr>
          <w:p w14:paraId="3DD5970E"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CN</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4610CDD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4,78</w:t>
            </w:r>
          </w:p>
        </w:tc>
      </w:tr>
      <w:tr w:rsidR="00000000" w14:paraId="07D3F450" w14:textId="77777777">
        <w:tblPrEx>
          <w:tblCellMar>
            <w:top w:w="0" w:type="dxa"/>
            <w:bottom w:w="0" w:type="dxa"/>
          </w:tblCellMar>
        </w:tblPrEx>
        <w:tc>
          <w:tcPr>
            <w:tcW w:w="1226" w:type="dxa"/>
            <w:tcBorders>
              <w:top w:val="single" w:sz="6" w:space="0" w:color="auto"/>
              <w:left w:val="single" w:sz="6" w:space="0" w:color="auto"/>
              <w:bottom w:val="single" w:sz="6" w:space="0" w:color="auto"/>
              <w:right w:val="single" w:sz="6" w:space="0" w:color="auto"/>
            </w:tcBorders>
          </w:tcPr>
          <w:p w14:paraId="179ACB11"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O</w:t>
            </w:r>
          </w:p>
        </w:tc>
        <w:tc>
          <w:tcPr>
            <w:tcW w:w="766" w:type="dxa"/>
            <w:tcBorders>
              <w:top w:val="single" w:sz="6" w:space="0" w:color="auto"/>
              <w:left w:val="single" w:sz="6" w:space="0" w:color="auto"/>
              <w:bottom w:val="single" w:sz="6" w:space="0" w:color="auto"/>
              <w:right w:val="single" w:sz="6" w:space="0" w:color="auto"/>
            </w:tcBorders>
          </w:tcPr>
          <w:p w14:paraId="286D190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15,74</w:t>
            </w:r>
          </w:p>
        </w:tc>
        <w:tc>
          <w:tcPr>
            <w:tcW w:w="2411" w:type="dxa"/>
            <w:tcBorders>
              <w:top w:val="single" w:sz="6" w:space="0" w:color="auto"/>
              <w:left w:val="single" w:sz="6" w:space="0" w:color="auto"/>
              <w:bottom w:val="single" w:sz="6" w:space="0" w:color="auto"/>
              <w:right w:val="single" w:sz="6" w:space="0" w:color="auto"/>
            </w:tcBorders>
          </w:tcPr>
          <w:p w14:paraId="7C65F0D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OH</w:t>
            </w:r>
            <w:r>
              <w:rPr>
                <w:rFonts w:ascii="Times New Roman CYR" w:hAnsi="Times New Roman CYR" w:cs="Times New Roman CYR"/>
                <w:sz w:val="20"/>
                <w:szCs w:val="20"/>
                <w:vertAlign w:val="superscript"/>
              </w:rPr>
              <w:t>-</w:t>
            </w:r>
          </w:p>
        </w:tc>
        <w:tc>
          <w:tcPr>
            <w:tcW w:w="766" w:type="dxa"/>
            <w:tcBorders>
              <w:top w:val="single" w:sz="6" w:space="0" w:color="auto"/>
              <w:left w:val="single" w:sz="6" w:space="0" w:color="auto"/>
              <w:bottom w:val="single" w:sz="6" w:space="0" w:color="auto"/>
              <w:right w:val="single" w:sz="6" w:space="0" w:color="auto"/>
            </w:tcBorders>
          </w:tcPr>
          <w:p w14:paraId="6DD4628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-1,74</w:t>
            </w:r>
          </w:p>
        </w:tc>
      </w:tr>
    </w:tbl>
    <w:p w14:paraId="695067DE" w14:textId="77777777" w:rsidR="00000000" w:rsidRDefault="00000000">
      <w:pPr>
        <w:spacing w:line="360" w:lineRule="auto"/>
        <w:ind w:firstLine="709"/>
        <w:jc w:val="both"/>
        <w:rPr>
          <w:rFonts w:ascii="Times New Roman CYR" w:hAnsi="Times New Roman CYR" w:cs="Times New Roman CYR"/>
          <w:sz w:val="28"/>
          <w:szCs w:val="28"/>
        </w:rPr>
      </w:pPr>
    </w:p>
    <w:p w14:paraId="4CADA27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Согласно протолитической теории кислоты и основания могут быть трех типов: </w:t>
      </w:r>
      <w:r>
        <w:rPr>
          <w:rFonts w:ascii="Times New Roman CYR" w:hAnsi="Times New Roman CYR" w:cs="Times New Roman CYR"/>
          <w:b/>
          <w:bCs/>
          <w:sz w:val="28"/>
          <w:szCs w:val="28"/>
        </w:rPr>
        <w:t>нейтральные, анионные и катионные</w:t>
      </w:r>
      <w:r>
        <w:rPr>
          <w:rFonts w:ascii="Times New Roman CYR" w:hAnsi="Times New Roman CYR" w:cs="Times New Roman CYR"/>
          <w:sz w:val="28"/>
          <w:szCs w:val="28"/>
        </w:rPr>
        <w:t>.</w:t>
      </w:r>
    </w:p>
    <w:p w14:paraId="3C3D870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роли первых выступают </w:t>
      </w:r>
      <w:r>
        <w:rPr>
          <w:rFonts w:ascii="Times New Roman CYR" w:hAnsi="Times New Roman CYR" w:cs="Times New Roman CYR"/>
          <w:b/>
          <w:bCs/>
          <w:sz w:val="28"/>
          <w:szCs w:val="28"/>
        </w:rPr>
        <w:t>нейтральные молекулы</w:t>
      </w:r>
      <w:r>
        <w:rPr>
          <w:rFonts w:ascii="Times New Roman CYR" w:hAnsi="Times New Roman CYR" w:cs="Times New Roman CYR"/>
          <w:sz w:val="28"/>
          <w:szCs w:val="28"/>
        </w:rPr>
        <w:t>, способные отдавать или присоединять ион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например: </w:t>
      </w:r>
      <w:r>
        <w:rPr>
          <w:rFonts w:ascii="Times New Roman CYR" w:hAnsi="Times New Roman CYR" w:cs="Times New Roman CYR"/>
          <w:sz w:val="28"/>
          <w:szCs w:val="28"/>
          <w:lang w:val="en-US"/>
        </w:rPr>
        <w:t>HCl</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HNO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(кислоты);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w:t>
      </w:r>
      <w:r>
        <w:rPr>
          <w:rFonts w:ascii="Times New Roman CYR" w:hAnsi="Times New Roman CYR" w:cs="Times New Roman CYR"/>
          <w:sz w:val="28"/>
          <w:szCs w:val="28"/>
          <w:lang w:val="en-US"/>
        </w:rPr>
        <w:t>O</w:t>
      </w:r>
      <w:r>
        <w:rPr>
          <w:rFonts w:ascii="Times New Roman CYR" w:hAnsi="Times New Roman CYR" w:cs="Times New Roman CYR"/>
          <w:sz w:val="28"/>
          <w:szCs w:val="28"/>
        </w:rPr>
        <w:t>-</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(основания).</w:t>
      </w:r>
    </w:p>
    <w:p w14:paraId="1F71869D"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Анионные основания и кислоты</w:t>
      </w:r>
      <w:r>
        <w:rPr>
          <w:rFonts w:ascii="Times New Roman CYR" w:hAnsi="Times New Roman CYR" w:cs="Times New Roman CYR"/>
          <w:sz w:val="28"/>
          <w:szCs w:val="28"/>
        </w:rPr>
        <w:t xml:space="preserve"> представляют собой отрицательно заряженные ионы, например: </w:t>
      </w:r>
      <w:r>
        <w:rPr>
          <w:rFonts w:ascii="Times New Roman CYR" w:hAnsi="Times New Roman CYR" w:cs="Times New Roman CYR"/>
          <w:sz w:val="28"/>
          <w:szCs w:val="28"/>
          <w:lang w:val="en-US"/>
        </w:rPr>
        <w:t>HSO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HS</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(кислоты);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NO</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(основания).</w:t>
      </w:r>
    </w:p>
    <w:p w14:paraId="6145E69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роли </w:t>
      </w:r>
      <w:r>
        <w:rPr>
          <w:rFonts w:ascii="Times New Roman CYR" w:hAnsi="Times New Roman CYR" w:cs="Times New Roman CYR"/>
          <w:b/>
          <w:bCs/>
          <w:sz w:val="28"/>
          <w:szCs w:val="28"/>
        </w:rPr>
        <w:t>катионных оснований и кислот</w:t>
      </w:r>
      <w:r>
        <w:rPr>
          <w:rFonts w:ascii="Times New Roman CYR" w:hAnsi="Times New Roman CYR" w:cs="Times New Roman CYR"/>
          <w:sz w:val="28"/>
          <w:szCs w:val="28"/>
        </w:rPr>
        <w:t xml:space="preserve"> выступают положительно заряженные ионы, например: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(кислоты);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N</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N</w:t>
      </w:r>
      <w:r>
        <w:rPr>
          <w:rFonts w:ascii="Times New Roman CYR" w:hAnsi="Times New Roman CYR" w:cs="Times New Roman CYR"/>
          <w:sz w:val="28"/>
          <w:szCs w:val="28"/>
        </w:rPr>
        <w:t>-(</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(основания).</w:t>
      </w:r>
    </w:p>
    <w:p w14:paraId="51AAFEA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Многие частицы (как молекулы, так и ионы) обладают амфотерными </w:t>
      </w:r>
      <w:r>
        <w:rPr>
          <w:rFonts w:ascii="Times New Roman CYR" w:hAnsi="Times New Roman CYR" w:cs="Times New Roman CYR"/>
          <w:sz w:val="28"/>
          <w:szCs w:val="28"/>
        </w:rPr>
        <w:lastRenderedPageBreak/>
        <w:t xml:space="preserve">свойствами, т.е. в зависимости от условий могут выступать как в роли кислоты так и в роли основания, например: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HSO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N</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 т.д. Данные соединения называются </w:t>
      </w:r>
      <w:r>
        <w:rPr>
          <w:rFonts w:ascii="Times New Roman CYR" w:hAnsi="Times New Roman CYR" w:cs="Times New Roman CYR"/>
          <w:b/>
          <w:bCs/>
          <w:sz w:val="28"/>
          <w:szCs w:val="28"/>
        </w:rPr>
        <w:t>амфипротными</w:t>
      </w:r>
      <w:r>
        <w:rPr>
          <w:rFonts w:ascii="Times New Roman CYR" w:hAnsi="Times New Roman CYR" w:cs="Times New Roman CYR"/>
          <w:sz w:val="28"/>
          <w:szCs w:val="28"/>
        </w:rPr>
        <w:t xml:space="preserve"> или </w:t>
      </w:r>
      <w:r>
        <w:rPr>
          <w:rFonts w:ascii="Times New Roman CYR" w:hAnsi="Times New Roman CYR" w:cs="Times New Roman CYR"/>
          <w:b/>
          <w:bCs/>
          <w:sz w:val="28"/>
          <w:szCs w:val="28"/>
        </w:rPr>
        <w:t>амфолитами</w:t>
      </w:r>
      <w:r>
        <w:rPr>
          <w:rFonts w:ascii="Times New Roman CYR" w:hAnsi="Times New Roman CYR" w:cs="Times New Roman CYR"/>
          <w:sz w:val="28"/>
          <w:szCs w:val="28"/>
        </w:rPr>
        <w:t>.</w:t>
      </w:r>
    </w:p>
    <w:p w14:paraId="27F7119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некоторых случаях провести резкую грань между их кислотными и основными свойствами и определить какие из них выражены сильнее бывает затруднительно.</w:t>
      </w:r>
    </w:p>
    <w:p w14:paraId="4C69F8E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Кислотные свойства соединения в растворе определяют по отношению к растворителю как к основанию. Количественно они оцениваются константой равновесия (К) реакции, заключающейся в переносе протона от кислоты к основанию (протолитическая реакция). Покажем это на примере диссоциации муравьиной кислоты в водном растворе:</w:t>
      </w:r>
    </w:p>
    <w:p w14:paraId="187DF70E"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250" w:type="dxa"/>
        <w:tblLayout w:type="fixed"/>
        <w:tblLook w:val="0000" w:firstRow="0" w:lastRow="0" w:firstColumn="0" w:lastColumn="0" w:noHBand="0" w:noVBand="0"/>
      </w:tblPr>
      <w:tblGrid>
        <w:gridCol w:w="1276"/>
        <w:gridCol w:w="329"/>
        <w:gridCol w:w="1938"/>
        <w:gridCol w:w="416"/>
        <w:gridCol w:w="2536"/>
        <w:gridCol w:w="329"/>
        <w:gridCol w:w="2248"/>
      </w:tblGrid>
      <w:tr w:rsidR="00000000" w14:paraId="23D37576" w14:textId="77777777">
        <w:tblPrEx>
          <w:tblCellMar>
            <w:top w:w="0" w:type="dxa"/>
            <w:bottom w:w="0" w:type="dxa"/>
          </w:tblCellMar>
        </w:tblPrEx>
        <w:tc>
          <w:tcPr>
            <w:tcW w:w="1276" w:type="dxa"/>
            <w:tcBorders>
              <w:top w:val="nil"/>
              <w:left w:val="nil"/>
              <w:bottom w:val="nil"/>
              <w:right w:val="nil"/>
            </w:tcBorders>
          </w:tcPr>
          <w:p w14:paraId="337B9EB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НСООН</w:t>
            </w:r>
          </w:p>
        </w:tc>
        <w:tc>
          <w:tcPr>
            <w:tcW w:w="329" w:type="dxa"/>
            <w:tcBorders>
              <w:top w:val="nil"/>
              <w:left w:val="nil"/>
              <w:bottom w:val="nil"/>
              <w:right w:val="nil"/>
            </w:tcBorders>
          </w:tcPr>
          <w:p w14:paraId="2884A90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938" w:type="dxa"/>
            <w:tcBorders>
              <w:top w:val="nil"/>
              <w:left w:val="nil"/>
              <w:bottom w:val="nil"/>
              <w:right w:val="nil"/>
            </w:tcBorders>
          </w:tcPr>
          <w:p w14:paraId="04551D2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w:t>
            </w:r>
          </w:p>
        </w:tc>
        <w:tc>
          <w:tcPr>
            <w:tcW w:w="416" w:type="dxa"/>
            <w:tcBorders>
              <w:top w:val="nil"/>
              <w:left w:val="nil"/>
              <w:bottom w:val="nil"/>
              <w:right w:val="nil"/>
            </w:tcBorders>
          </w:tcPr>
          <w:p w14:paraId="504C3011"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536" w:type="dxa"/>
            <w:tcBorders>
              <w:top w:val="nil"/>
              <w:left w:val="nil"/>
              <w:bottom w:val="nil"/>
              <w:right w:val="nil"/>
            </w:tcBorders>
          </w:tcPr>
          <w:p w14:paraId="15DCE04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НСОО</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5594F76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48" w:type="dxa"/>
            <w:tcBorders>
              <w:top w:val="nil"/>
              <w:left w:val="nil"/>
              <w:bottom w:val="nil"/>
              <w:right w:val="nil"/>
            </w:tcBorders>
          </w:tcPr>
          <w:p w14:paraId="4EE4350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О</w:t>
            </w:r>
            <w:r>
              <w:rPr>
                <w:rFonts w:ascii="Times New Roman CYR" w:hAnsi="Times New Roman CYR" w:cs="Times New Roman CYR"/>
                <w:sz w:val="20"/>
                <w:szCs w:val="20"/>
                <w:vertAlign w:val="superscript"/>
              </w:rPr>
              <w:t>+</w:t>
            </w:r>
          </w:p>
        </w:tc>
      </w:tr>
      <w:tr w:rsidR="00000000" w14:paraId="6CCCDD6E" w14:textId="77777777">
        <w:tblPrEx>
          <w:tblCellMar>
            <w:top w:w="0" w:type="dxa"/>
            <w:bottom w:w="0" w:type="dxa"/>
          </w:tblCellMar>
        </w:tblPrEx>
        <w:tc>
          <w:tcPr>
            <w:tcW w:w="1276" w:type="dxa"/>
            <w:tcBorders>
              <w:top w:val="nil"/>
              <w:left w:val="nil"/>
              <w:bottom w:val="nil"/>
              <w:right w:val="nil"/>
            </w:tcBorders>
          </w:tcPr>
          <w:p w14:paraId="024DE58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Муравьиная кислота</w:t>
            </w:r>
          </w:p>
        </w:tc>
        <w:tc>
          <w:tcPr>
            <w:tcW w:w="329" w:type="dxa"/>
            <w:tcBorders>
              <w:top w:val="nil"/>
              <w:left w:val="nil"/>
              <w:bottom w:val="nil"/>
              <w:right w:val="nil"/>
            </w:tcBorders>
          </w:tcPr>
          <w:p w14:paraId="016AD4E5" w14:textId="77777777" w:rsidR="00000000" w:rsidRDefault="00000000">
            <w:pPr>
              <w:rPr>
                <w:rFonts w:ascii="Times New Roman CYR" w:hAnsi="Times New Roman CYR" w:cs="Times New Roman CYR"/>
                <w:sz w:val="20"/>
                <w:szCs w:val="20"/>
              </w:rPr>
            </w:pPr>
          </w:p>
        </w:tc>
        <w:tc>
          <w:tcPr>
            <w:tcW w:w="1938" w:type="dxa"/>
            <w:tcBorders>
              <w:top w:val="nil"/>
              <w:left w:val="nil"/>
              <w:bottom w:val="nil"/>
              <w:right w:val="nil"/>
            </w:tcBorders>
          </w:tcPr>
          <w:p w14:paraId="7A7603C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основание(избыток)</w:t>
            </w:r>
          </w:p>
        </w:tc>
        <w:tc>
          <w:tcPr>
            <w:tcW w:w="416" w:type="dxa"/>
            <w:tcBorders>
              <w:top w:val="nil"/>
              <w:left w:val="nil"/>
              <w:bottom w:val="nil"/>
              <w:right w:val="nil"/>
            </w:tcBorders>
          </w:tcPr>
          <w:p w14:paraId="1C7C9933" w14:textId="77777777" w:rsidR="00000000" w:rsidRDefault="00000000">
            <w:pPr>
              <w:rPr>
                <w:rFonts w:ascii="Times New Roman CYR" w:hAnsi="Times New Roman CYR" w:cs="Times New Roman CYR"/>
                <w:sz w:val="20"/>
                <w:szCs w:val="20"/>
              </w:rPr>
            </w:pPr>
          </w:p>
        </w:tc>
        <w:tc>
          <w:tcPr>
            <w:tcW w:w="2536" w:type="dxa"/>
            <w:tcBorders>
              <w:top w:val="nil"/>
              <w:left w:val="nil"/>
              <w:bottom w:val="nil"/>
              <w:right w:val="nil"/>
            </w:tcBorders>
          </w:tcPr>
          <w:p w14:paraId="730DF62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формиат-ион(сопряженное основание)</w:t>
            </w:r>
          </w:p>
        </w:tc>
        <w:tc>
          <w:tcPr>
            <w:tcW w:w="329" w:type="dxa"/>
            <w:tcBorders>
              <w:top w:val="nil"/>
              <w:left w:val="nil"/>
              <w:bottom w:val="nil"/>
              <w:right w:val="nil"/>
            </w:tcBorders>
          </w:tcPr>
          <w:p w14:paraId="79A8C141" w14:textId="77777777" w:rsidR="00000000" w:rsidRDefault="00000000">
            <w:pPr>
              <w:rPr>
                <w:rFonts w:ascii="Times New Roman CYR" w:hAnsi="Times New Roman CYR" w:cs="Times New Roman CYR"/>
                <w:sz w:val="20"/>
                <w:szCs w:val="20"/>
              </w:rPr>
            </w:pPr>
          </w:p>
        </w:tc>
        <w:tc>
          <w:tcPr>
            <w:tcW w:w="2248" w:type="dxa"/>
            <w:tcBorders>
              <w:top w:val="nil"/>
              <w:left w:val="nil"/>
              <w:bottom w:val="nil"/>
              <w:right w:val="nil"/>
            </w:tcBorders>
          </w:tcPr>
          <w:p w14:paraId="5A0AD65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ион гидроксония (сопряженная кислота)</w:t>
            </w:r>
          </w:p>
        </w:tc>
      </w:tr>
    </w:tbl>
    <w:p w14:paraId="0A57B668" w14:textId="77777777" w:rsidR="00000000" w:rsidRDefault="00000000">
      <w:pPr>
        <w:spacing w:line="360" w:lineRule="auto"/>
        <w:ind w:firstLine="709"/>
        <w:jc w:val="both"/>
        <w:rPr>
          <w:rFonts w:ascii="Times New Roman CYR" w:hAnsi="Times New Roman CYR" w:cs="Times New Roman CYR"/>
          <w:sz w:val="28"/>
          <w:szCs w:val="28"/>
        </w:rPr>
      </w:pPr>
    </w:p>
    <w:p w14:paraId="61FD678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Константа равновесия данной реакции равна</w:t>
      </w:r>
    </w:p>
    <w:p w14:paraId="517AA021" w14:textId="77777777" w:rsidR="00000000" w:rsidRDefault="00000000">
      <w:pPr>
        <w:spacing w:line="360" w:lineRule="auto"/>
        <w:ind w:firstLine="709"/>
        <w:jc w:val="both"/>
        <w:rPr>
          <w:rFonts w:ascii="Times New Roman CYR" w:hAnsi="Times New Roman CYR" w:cs="Times New Roman CYR"/>
          <w:sz w:val="28"/>
          <w:szCs w:val="28"/>
        </w:rPr>
      </w:pPr>
    </w:p>
    <w:p w14:paraId="685E0141" w14:textId="02E10DC9"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2D6B7B27" wp14:editId="261EB3B6">
            <wp:extent cx="1653540" cy="647700"/>
            <wp:effectExtent l="0" t="0" r="0" b="0"/>
            <wp:docPr id="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3540" cy="647700"/>
                    </a:xfrm>
                    <a:prstGeom prst="rect">
                      <a:avLst/>
                    </a:prstGeom>
                    <a:noFill/>
                    <a:ln>
                      <a:noFill/>
                    </a:ln>
                  </pic:spPr>
                </pic:pic>
              </a:graphicData>
            </a:graphic>
          </wp:inline>
        </w:drawing>
      </w:r>
    </w:p>
    <w:p w14:paraId="796310B2" w14:textId="77777777" w:rsidR="00000000" w:rsidRDefault="00000000">
      <w:pPr>
        <w:ind w:firstLine="709"/>
        <w:rPr>
          <w:rFonts w:ascii="Times New Roman CYR" w:hAnsi="Times New Roman CYR" w:cs="Times New Roman CYR"/>
          <w:sz w:val="28"/>
          <w:szCs w:val="28"/>
        </w:rPr>
      </w:pPr>
    </w:p>
    <w:p w14:paraId="6884870E" w14:textId="57EFCE21"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Эта константа отличается от обычного выражения константы диссоциации кислоты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rPr>
        <w:t>дисс.</w:t>
      </w:r>
      <w:r>
        <w:rPr>
          <w:rFonts w:ascii="Times New Roman CYR" w:hAnsi="Times New Roman CYR" w:cs="Times New Roman CYR"/>
          <w:sz w:val="28"/>
          <w:szCs w:val="28"/>
        </w:rPr>
        <w:t xml:space="preserve">), приводимого ранее, множителем </w:t>
      </w:r>
      <w:r w:rsidR="00491361">
        <w:rPr>
          <w:rFonts w:ascii="Microsoft Sans Serif" w:hAnsi="Microsoft Sans Serif" w:cs="Microsoft Sans Serif"/>
          <w:noProof/>
          <w:sz w:val="17"/>
          <w:szCs w:val="17"/>
        </w:rPr>
        <w:drawing>
          <wp:inline distT="0" distB="0" distL="0" distR="0" wp14:anchorId="0F605552" wp14:editId="543A3428">
            <wp:extent cx="441960" cy="304800"/>
            <wp:effectExtent l="0" t="0" r="0" b="0"/>
            <wp:docPr id="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960" cy="304800"/>
                    </a:xfrm>
                    <a:prstGeom prst="rect">
                      <a:avLst/>
                    </a:prstGeom>
                    <a:noFill/>
                    <a:ln>
                      <a:noFill/>
                    </a:ln>
                  </pic:spPr>
                </pic:pic>
              </a:graphicData>
            </a:graphic>
          </wp:inline>
        </w:drawing>
      </w:r>
      <w:r>
        <w:rPr>
          <w:rFonts w:ascii="Times New Roman CYR" w:hAnsi="Times New Roman CYR" w:cs="Times New Roman CYR"/>
          <w:sz w:val="28"/>
          <w:szCs w:val="28"/>
        </w:rPr>
        <w:t xml:space="preserve">. При рассмотрении диссоциации разных кислот в одном и том же растворителе данный множитель остается одинаковым, поэтому его обычно включают в константу равновесия в виде произведения </w:t>
      </w:r>
      <w:r w:rsidR="00491361">
        <w:rPr>
          <w:rFonts w:ascii="Microsoft Sans Serif" w:hAnsi="Microsoft Sans Serif" w:cs="Microsoft Sans Serif"/>
          <w:noProof/>
          <w:sz w:val="17"/>
          <w:szCs w:val="17"/>
        </w:rPr>
        <w:drawing>
          <wp:inline distT="0" distB="0" distL="0" distR="0" wp14:anchorId="7DB5EF92" wp14:editId="0DEF3BA4">
            <wp:extent cx="708660" cy="304800"/>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8660" cy="304800"/>
                    </a:xfrm>
                    <a:prstGeom prst="rect">
                      <a:avLst/>
                    </a:prstGeom>
                    <a:noFill/>
                    <a:ln>
                      <a:noFill/>
                    </a:ln>
                  </pic:spPr>
                </pic:pic>
              </a:graphicData>
            </a:graphic>
          </wp:inline>
        </w:drawing>
      </w:r>
      <w:r>
        <w:rPr>
          <w:rFonts w:ascii="Times New Roman CYR" w:hAnsi="Times New Roman CYR" w:cs="Times New Roman CYR"/>
          <w:sz w:val="28"/>
          <w:szCs w:val="28"/>
        </w:rPr>
        <w:t xml:space="preserve"> и обозначают </w:t>
      </w:r>
      <w:r>
        <w:rPr>
          <w:rFonts w:ascii="Times New Roman CYR" w:hAnsi="Times New Roman CYR" w:cs="Times New Roman CYR"/>
          <w:b/>
          <w:bCs/>
          <w:sz w:val="28"/>
          <w:szCs w:val="28"/>
          <w:lang w:val="en-US"/>
        </w:rPr>
        <w:t>K</w:t>
      </w:r>
      <w:r>
        <w:rPr>
          <w:rFonts w:ascii="Times New Roman CYR" w:hAnsi="Times New Roman CYR" w:cs="Times New Roman CYR"/>
          <w:b/>
          <w:bCs/>
          <w:sz w:val="28"/>
          <w:szCs w:val="28"/>
          <w:vertAlign w:val="subscript"/>
          <w:lang w:val="en-US"/>
        </w:rPr>
        <w:t>a</w:t>
      </w:r>
      <w:r>
        <w:rPr>
          <w:rFonts w:ascii="Times New Roman CYR" w:hAnsi="Times New Roman CYR" w:cs="Times New Roman CYR"/>
          <w:b/>
          <w:bCs/>
          <w:sz w:val="28"/>
          <w:szCs w:val="28"/>
        </w:rPr>
        <w:t xml:space="preserve"> (константа кислотности):</w:t>
      </w:r>
    </w:p>
    <w:p w14:paraId="3F3E10CF" w14:textId="77777777" w:rsidR="00000000" w:rsidRDefault="00000000">
      <w:pPr>
        <w:ind w:firstLine="709"/>
        <w:rPr>
          <w:rFonts w:ascii="Times New Roman CYR" w:hAnsi="Times New Roman CYR" w:cs="Times New Roman CYR"/>
          <w:sz w:val="28"/>
          <w:szCs w:val="28"/>
        </w:rPr>
      </w:pPr>
    </w:p>
    <w:p w14:paraId="4B179E2E" w14:textId="060B252A"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br w:type="page"/>
      </w:r>
      <w:r w:rsidR="00491361">
        <w:rPr>
          <w:rFonts w:ascii="Microsoft Sans Serif" w:hAnsi="Microsoft Sans Serif" w:cs="Microsoft Sans Serif"/>
          <w:noProof/>
          <w:sz w:val="17"/>
          <w:szCs w:val="17"/>
        </w:rPr>
        <w:lastRenderedPageBreak/>
        <w:drawing>
          <wp:inline distT="0" distB="0" distL="0" distR="0" wp14:anchorId="47B4AA80" wp14:editId="73790D96">
            <wp:extent cx="3131820" cy="716280"/>
            <wp:effectExtent l="0" t="0" r="0" b="0"/>
            <wp:docPr id="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1820" cy="716280"/>
                    </a:xfrm>
                    <a:prstGeom prst="rect">
                      <a:avLst/>
                    </a:prstGeom>
                    <a:noFill/>
                    <a:ln>
                      <a:noFill/>
                    </a:ln>
                  </pic:spPr>
                </pic:pic>
              </a:graphicData>
            </a:graphic>
          </wp:inline>
        </w:drawing>
      </w:r>
    </w:p>
    <w:p w14:paraId="641C2167" w14:textId="77777777" w:rsidR="00000000" w:rsidRDefault="00000000">
      <w:pPr>
        <w:ind w:firstLine="709"/>
        <w:rPr>
          <w:rFonts w:ascii="Times New Roman CYR" w:hAnsi="Times New Roman CYR" w:cs="Times New Roman CYR"/>
          <w:sz w:val="28"/>
          <w:szCs w:val="28"/>
        </w:rPr>
      </w:pPr>
    </w:p>
    <w:p w14:paraId="263A4C54"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Чем больше величина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тем сильнее кислота, т.е. тем она легче отдает ионы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основанию (молекулам растворителя). Для оценки силы слабых кислот чаще используют не величину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а ее десятичный логарифм, взятый с обратным знаком:</w:t>
      </w:r>
    </w:p>
    <w:p w14:paraId="258EF92D" w14:textId="77777777" w:rsidR="00000000" w:rsidRDefault="00000000">
      <w:pPr>
        <w:ind w:firstLine="709"/>
        <w:rPr>
          <w:rFonts w:ascii="Times New Roman CYR" w:hAnsi="Times New Roman CYR" w:cs="Times New Roman CYR"/>
          <w:sz w:val="28"/>
          <w:szCs w:val="28"/>
        </w:rPr>
      </w:pPr>
    </w:p>
    <w:p w14:paraId="78F9F1D6" w14:textId="77777777" w:rsidR="00000000" w:rsidRDefault="00000000">
      <w:pPr>
        <w:ind w:firstLine="709"/>
        <w:rPr>
          <w:rFonts w:ascii="Times New Roman CYR" w:hAnsi="Times New Roman CYR" w:cs="Times New Roman CYR"/>
          <w:sz w:val="28"/>
          <w:szCs w:val="28"/>
          <w:lang w:val="en-US"/>
        </w:rPr>
      </w:pPr>
      <w:r>
        <w:rPr>
          <w:rFonts w:ascii="Times New Roman CYR" w:hAnsi="Times New Roman CYR" w:cs="Times New Roman CYR"/>
          <w:sz w:val="28"/>
          <w:szCs w:val="28"/>
          <w:lang w:val="en-US"/>
        </w:rPr>
        <w:t>lg 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lang w:val="en-US"/>
        </w:rPr>
        <w:t xml:space="preserve"> = pK</w:t>
      </w:r>
      <w:r>
        <w:rPr>
          <w:rFonts w:ascii="Times New Roman CYR" w:hAnsi="Times New Roman CYR" w:cs="Times New Roman CYR"/>
          <w:sz w:val="28"/>
          <w:szCs w:val="28"/>
          <w:vertAlign w:val="subscript"/>
          <w:lang w:val="en-US"/>
        </w:rPr>
        <w:t>a</w:t>
      </w:r>
    </w:p>
    <w:p w14:paraId="27BF8B51" w14:textId="77777777" w:rsidR="00000000" w:rsidRDefault="00000000">
      <w:pPr>
        <w:ind w:firstLine="709"/>
        <w:rPr>
          <w:rFonts w:ascii="Times New Roman CYR" w:hAnsi="Times New Roman CYR" w:cs="Times New Roman CYR"/>
          <w:sz w:val="28"/>
          <w:szCs w:val="28"/>
          <w:lang w:val="en-US"/>
        </w:rPr>
      </w:pPr>
    </w:p>
    <w:p w14:paraId="7A505D8A"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Чем больше значение р</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тем слабее кислота.</w:t>
      </w:r>
    </w:p>
    <w:p w14:paraId="78218365" w14:textId="77777777" w:rsidR="00000000" w:rsidRDefault="00000000">
      <w:pPr>
        <w:ind w:firstLine="709"/>
        <w:rPr>
          <w:rFonts w:ascii="Times New Roman CYR" w:hAnsi="Times New Roman CYR" w:cs="Times New Roman CYR"/>
          <w:b/>
          <w:bCs/>
          <w:sz w:val="28"/>
          <w:szCs w:val="28"/>
        </w:rPr>
      </w:pPr>
      <w:r>
        <w:rPr>
          <w:rFonts w:ascii="Times New Roman CYR" w:hAnsi="Times New Roman CYR" w:cs="Times New Roman CYR"/>
          <w:b/>
          <w:bCs/>
          <w:sz w:val="28"/>
          <w:szCs w:val="28"/>
        </w:rPr>
        <w:t xml:space="preserve">Для количественной характеристики основности соединения в водном растворе служит константа равновесия </w:t>
      </w:r>
      <w:r>
        <w:rPr>
          <w:rFonts w:ascii="Times New Roman CYR" w:hAnsi="Times New Roman CYR" w:cs="Times New Roman CYR"/>
          <w:b/>
          <w:bCs/>
          <w:sz w:val="28"/>
          <w:szCs w:val="28"/>
          <w:lang w:val="en-US"/>
        </w:rPr>
        <w:t>K</w:t>
      </w:r>
      <w:r>
        <w:rPr>
          <w:rFonts w:ascii="Times New Roman CYR" w:hAnsi="Times New Roman CYR" w:cs="Times New Roman CYR"/>
          <w:b/>
          <w:bCs/>
          <w:sz w:val="28"/>
          <w:szCs w:val="28"/>
        </w:rPr>
        <w:t xml:space="preserve"> реакции:</w:t>
      </w:r>
    </w:p>
    <w:p w14:paraId="38BABB18" w14:textId="77777777" w:rsidR="00000000" w:rsidRDefault="00000000">
      <w:pPr>
        <w:ind w:firstLine="709"/>
        <w:rPr>
          <w:rFonts w:ascii="Times New Roman CYR" w:hAnsi="Times New Roman CYR" w:cs="Times New Roman CYR"/>
          <w:b/>
          <w:bCs/>
          <w:sz w:val="28"/>
          <w:szCs w:val="28"/>
        </w:rPr>
      </w:pPr>
    </w:p>
    <w:tbl>
      <w:tblPr>
        <w:tblW w:w="0" w:type="auto"/>
        <w:tblInd w:w="392" w:type="dxa"/>
        <w:tblLayout w:type="fixed"/>
        <w:tblLook w:val="0000" w:firstRow="0" w:lastRow="0" w:firstColumn="0" w:lastColumn="0" w:noHBand="0" w:noVBand="0"/>
      </w:tblPr>
      <w:tblGrid>
        <w:gridCol w:w="1098"/>
        <w:gridCol w:w="329"/>
        <w:gridCol w:w="885"/>
        <w:gridCol w:w="416"/>
        <w:gridCol w:w="2090"/>
        <w:gridCol w:w="329"/>
        <w:gridCol w:w="2311"/>
      </w:tblGrid>
      <w:tr w:rsidR="00000000" w14:paraId="659A7505" w14:textId="77777777">
        <w:tblPrEx>
          <w:tblCellMar>
            <w:top w:w="0" w:type="dxa"/>
            <w:bottom w:w="0" w:type="dxa"/>
          </w:tblCellMar>
        </w:tblPrEx>
        <w:tc>
          <w:tcPr>
            <w:tcW w:w="1098" w:type="dxa"/>
            <w:tcBorders>
              <w:top w:val="nil"/>
              <w:left w:val="nil"/>
              <w:bottom w:val="nil"/>
              <w:right w:val="nil"/>
            </w:tcBorders>
          </w:tcPr>
          <w:p w14:paraId="6EA855DE" w14:textId="77777777" w:rsidR="00000000" w:rsidRDefault="00000000">
            <w:pPr>
              <w:rPr>
                <w:rFonts w:ascii="Times New Roman CYR" w:hAnsi="Times New Roman CYR" w:cs="Times New Roman CYR"/>
                <w:sz w:val="20"/>
                <w:szCs w:val="20"/>
              </w:rPr>
            </w:pPr>
            <w:r>
              <w:rPr>
                <w:rFonts w:ascii="Times New Roman CYR" w:hAnsi="Times New Roman CYR" w:cs="Times New Roman CYR"/>
                <w:b/>
                <w:bCs/>
                <w:sz w:val="20"/>
                <w:szCs w:val="20"/>
              </w:rPr>
              <w:t>:</w:t>
            </w:r>
            <w:r>
              <w:rPr>
                <w:rFonts w:ascii="Times New Roman CYR" w:hAnsi="Times New Roman CYR" w:cs="Times New Roman CYR"/>
                <w:sz w:val="20"/>
                <w:szCs w:val="20"/>
                <w:lang w:val="en-US"/>
              </w:rPr>
              <w:t>B</w:t>
            </w:r>
          </w:p>
        </w:tc>
        <w:tc>
          <w:tcPr>
            <w:tcW w:w="329" w:type="dxa"/>
            <w:tcBorders>
              <w:top w:val="nil"/>
              <w:left w:val="nil"/>
              <w:bottom w:val="nil"/>
              <w:right w:val="nil"/>
            </w:tcBorders>
          </w:tcPr>
          <w:p w14:paraId="4AF310C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w:t>
            </w:r>
          </w:p>
        </w:tc>
        <w:tc>
          <w:tcPr>
            <w:tcW w:w="885" w:type="dxa"/>
            <w:tcBorders>
              <w:top w:val="nil"/>
              <w:left w:val="nil"/>
              <w:bottom w:val="nil"/>
              <w:right w:val="nil"/>
            </w:tcBorders>
          </w:tcPr>
          <w:p w14:paraId="69D8325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O</w:t>
            </w:r>
          </w:p>
        </w:tc>
        <w:tc>
          <w:tcPr>
            <w:tcW w:w="416" w:type="dxa"/>
            <w:tcBorders>
              <w:top w:val="nil"/>
              <w:left w:val="nil"/>
              <w:bottom w:val="nil"/>
              <w:right w:val="nil"/>
            </w:tcBorders>
          </w:tcPr>
          <w:p w14:paraId="2610BB81"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lang w:val="en-US"/>
              </w:rPr>
              <w:t>↔</w:t>
            </w:r>
          </w:p>
        </w:tc>
        <w:tc>
          <w:tcPr>
            <w:tcW w:w="2090" w:type="dxa"/>
            <w:tcBorders>
              <w:top w:val="nil"/>
              <w:left w:val="nil"/>
              <w:bottom w:val="nil"/>
              <w:right w:val="nil"/>
            </w:tcBorders>
          </w:tcPr>
          <w:p w14:paraId="6AF613A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ВН</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7D5D256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311" w:type="dxa"/>
            <w:tcBorders>
              <w:top w:val="nil"/>
              <w:left w:val="nil"/>
              <w:bottom w:val="nil"/>
              <w:right w:val="nil"/>
            </w:tcBorders>
          </w:tcPr>
          <w:p w14:paraId="797055D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ОН</w:t>
            </w:r>
            <w:r>
              <w:rPr>
                <w:rFonts w:ascii="Times New Roman CYR" w:hAnsi="Times New Roman CYR" w:cs="Times New Roman CYR"/>
                <w:sz w:val="20"/>
                <w:szCs w:val="20"/>
                <w:vertAlign w:val="superscript"/>
              </w:rPr>
              <w:t>-</w:t>
            </w:r>
          </w:p>
        </w:tc>
      </w:tr>
      <w:tr w:rsidR="00000000" w14:paraId="171DAF02" w14:textId="77777777">
        <w:tblPrEx>
          <w:tblCellMar>
            <w:top w:w="0" w:type="dxa"/>
            <w:bottom w:w="0" w:type="dxa"/>
          </w:tblCellMar>
        </w:tblPrEx>
        <w:tc>
          <w:tcPr>
            <w:tcW w:w="1098" w:type="dxa"/>
            <w:tcBorders>
              <w:top w:val="nil"/>
              <w:left w:val="nil"/>
              <w:bottom w:val="nil"/>
              <w:right w:val="nil"/>
            </w:tcBorders>
          </w:tcPr>
          <w:p w14:paraId="71881F2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329" w:type="dxa"/>
            <w:tcBorders>
              <w:top w:val="nil"/>
              <w:left w:val="nil"/>
              <w:bottom w:val="nil"/>
              <w:right w:val="nil"/>
            </w:tcBorders>
          </w:tcPr>
          <w:p w14:paraId="0E1FE8F2" w14:textId="77777777" w:rsidR="00000000" w:rsidRDefault="00000000">
            <w:pPr>
              <w:rPr>
                <w:rFonts w:ascii="Times New Roman CYR" w:hAnsi="Times New Roman CYR" w:cs="Times New Roman CYR"/>
                <w:sz w:val="20"/>
                <w:szCs w:val="20"/>
              </w:rPr>
            </w:pPr>
          </w:p>
        </w:tc>
        <w:tc>
          <w:tcPr>
            <w:tcW w:w="885" w:type="dxa"/>
            <w:tcBorders>
              <w:top w:val="nil"/>
              <w:left w:val="nil"/>
              <w:bottom w:val="nil"/>
              <w:right w:val="nil"/>
            </w:tcBorders>
          </w:tcPr>
          <w:p w14:paraId="7938545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416" w:type="dxa"/>
            <w:tcBorders>
              <w:top w:val="nil"/>
              <w:left w:val="nil"/>
              <w:bottom w:val="nil"/>
              <w:right w:val="nil"/>
            </w:tcBorders>
          </w:tcPr>
          <w:p w14:paraId="01098CCB" w14:textId="77777777" w:rsidR="00000000" w:rsidRDefault="00000000">
            <w:pPr>
              <w:rPr>
                <w:rFonts w:ascii="Times New Roman CYR" w:hAnsi="Times New Roman CYR" w:cs="Times New Roman CYR"/>
                <w:sz w:val="20"/>
                <w:szCs w:val="20"/>
              </w:rPr>
            </w:pPr>
          </w:p>
        </w:tc>
        <w:tc>
          <w:tcPr>
            <w:tcW w:w="2090" w:type="dxa"/>
            <w:tcBorders>
              <w:top w:val="nil"/>
              <w:left w:val="nil"/>
              <w:bottom w:val="nil"/>
              <w:right w:val="nil"/>
            </w:tcBorders>
          </w:tcPr>
          <w:p w14:paraId="666AF7E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 кислота</w:t>
            </w:r>
          </w:p>
        </w:tc>
        <w:tc>
          <w:tcPr>
            <w:tcW w:w="329" w:type="dxa"/>
            <w:tcBorders>
              <w:top w:val="nil"/>
              <w:left w:val="nil"/>
              <w:bottom w:val="nil"/>
              <w:right w:val="nil"/>
            </w:tcBorders>
          </w:tcPr>
          <w:p w14:paraId="30B61112" w14:textId="77777777" w:rsidR="00000000" w:rsidRDefault="00000000">
            <w:pPr>
              <w:rPr>
                <w:rFonts w:ascii="Times New Roman CYR" w:hAnsi="Times New Roman CYR" w:cs="Times New Roman CYR"/>
                <w:sz w:val="20"/>
                <w:szCs w:val="20"/>
              </w:rPr>
            </w:pPr>
          </w:p>
        </w:tc>
        <w:tc>
          <w:tcPr>
            <w:tcW w:w="2311" w:type="dxa"/>
            <w:tcBorders>
              <w:top w:val="nil"/>
              <w:left w:val="nil"/>
              <w:bottom w:val="nil"/>
              <w:right w:val="nil"/>
            </w:tcBorders>
          </w:tcPr>
          <w:p w14:paraId="53B9B9E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68CF9C44" w14:textId="5A961EB6"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78FDD114" wp14:editId="0E652DAE">
            <wp:extent cx="1409700" cy="624840"/>
            <wp:effectExtent l="0" t="0" r="0" b="0"/>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624840"/>
                    </a:xfrm>
                    <a:prstGeom prst="rect">
                      <a:avLst/>
                    </a:prstGeom>
                    <a:noFill/>
                    <a:ln>
                      <a:noFill/>
                    </a:ln>
                  </pic:spPr>
                </pic:pic>
              </a:graphicData>
            </a:graphic>
          </wp:inline>
        </w:drawing>
      </w:r>
    </w:p>
    <w:p w14:paraId="7FAAD3E9" w14:textId="77777777" w:rsidR="00000000" w:rsidRDefault="00000000">
      <w:pPr>
        <w:ind w:firstLine="709"/>
        <w:rPr>
          <w:rFonts w:ascii="Times New Roman CYR" w:hAnsi="Times New Roman CYR" w:cs="Times New Roman CYR"/>
          <w:sz w:val="28"/>
          <w:szCs w:val="28"/>
        </w:rPr>
      </w:pPr>
    </w:p>
    <w:p w14:paraId="57909179" w14:textId="650CE520"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С учетом того, что </w:t>
      </w:r>
      <w:r w:rsidR="00491361">
        <w:rPr>
          <w:rFonts w:ascii="Microsoft Sans Serif" w:hAnsi="Microsoft Sans Serif" w:cs="Microsoft Sans Serif"/>
          <w:noProof/>
          <w:sz w:val="17"/>
          <w:szCs w:val="17"/>
        </w:rPr>
        <w:drawing>
          <wp:inline distT="0" distB="0" distL="0" distR="0" wp14:anchorId="3C4AF1A3" wp14:editId="5C9BEE2C">
            <wp:extent cx="1165860" cy="30480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304800"/>
                    </a:xfrm>
                    <a:prstGeom prst="rect">
                      <a:avLst/>
                    </a:prstGeom>
                    <a:noFill/>
                    <a:ln>
                      <a:noFill/>
                    </a:ln>
                  </pic:spPr>
                </pic:pic>
              </a:graphicData>
            </a:graphic>
          </wp:inline>
        </w:drawing>
      </w:r>
      <w:r>
        <w:rPr>
          <w:rFonts w:ascii="Times New Roman CYR" w:hAnsi="Times New Roman CYR" w:cs="Times New Roman CYR"/>
          <w:sz w:val="28"/>
          <w:szCs w:val="28"/>
        </w:rPr>
        <w:t xml:space="preserve"> (</w:t>
      </w:r>
      <w:r>
        <w:rPr>
          <w:rFonts w:ascii="Times New Roman CYR" w:hAnsi="Times New Roman CYR" w:cs="Times New Roman CYR"/>
          <w:b/>
          <w:bCs/>
          <w:sz w:val="28"/>
          <w:szCs w:val="28"/>
        </w:rPr>
        <w:t>константа основности</w:t>
      </w:r>
      <w:r>
        <w:rPr>
          <w:rFonts w:ascii="Times New Roman CYR" w:hAnsi="Times New Roman CYR" w:cs="Times New Roman CYR"/>
          <w:sz w:val="28"/>
          <w:szCs w:val="28"/>
        </w:rPr>
        <w:t>), можно записать:</w:t>
      </w:r>
    </w:p>
    <w:p w14:paraId="6029A44C" w14:textId="77777777" w:rsidR="00000000" w:rsidRDefault="00000000">
      <w:pPr>
        <w:ind w:firstLine="709"/>
        <w:rPr>
          <w:rFonts w:ascii="Times New Roman CYR" w:hAnsi="Times New Roman CYR" w:cs="Times New Roman CYR"/>
          <w:sz w:val="28"/>
          <w:szCs w:val="28"/>
        </w:rPr>
      </w:pPr>
    </w:p>
    <w:p w14:paraId="3890F38B" w14:textId="586042F8"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2224E058" wp14:editId="4442F93C">
            <wp:extent cx="1485900" cy="594360"/>
            <wp:effectExtent l="0" t="0" r="0" b="0"/>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594360"/>
                    </a:xfrm>
                    <a:prstGeom prst="rect">
                      <a:avLst/>
                    </a:prstGeom>
                    <a:noFill/>
                    <a:ln>
                      <a:noFill/>
                    </a:ln>
                  </pic:spPr>
                </pic:pic>
              </a:graphicData>
            </a:graphic>
          </wp:inline>
        </w:drawing>
      </w:r>
    </w:p>
    <w:p w14:paraId="2BDBDF9C" w14:textId="77777777" w:rsidR="00000000" w:rsidRDefault="00000000">
      <w:pPr>
        <w:ind w:firstLine="709"/>
        <w:rPr>
          <w:rFonts w:ascii="Times New Roman CYR" w:hAnsi="Times New Roman CYR" w:cs="Times New Roman CYR"/>
          <w:sz w:val="28"/>
          <w:szCs w:val="28"/>
        </w:rPr>
      </w:pPr>
    </w:p>
    <w:p w14:paraId="2D1E1B6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Для оценки силы слабых оснований, как и в случае слабых кислот, также удобнее применять не значение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rPr>
        <w:t>в</w:t>
      </w:r>
      <w:r>
        <w:rPr>
          <w:rFonts w:ascii="Times New Roman CYR" w:hAnsi="Times New Roman CYR" w:cs="Times New Roman CYR"/>
          <w:sz w:val="28"/>
          <w:szCs w:val="28"/>
        </w:rPr>
        <w:t>, а ее отрицательный десятичный логарифм:</w:t>
      </w:r>
    </w:p>
    <w:p w14:paraId="770EB71A"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lang w:val="en-US"/>
        </w:rPr>
        <w:lastRenderedPageBreak/>
        <w:t>pK</w:t>
      </w:r>
      <w:r>
        <w:rPr>
          <w:rFonts w:ascii="Times New Roman CYR" w:hAnsi="Times New Roman CYR" w:cs="Times New Roman CYR"/>
          <w:sz w:val="28"/>
          <w:szCs w:val="28"/>
          <w:vertAlign w:val="subscript"/>
        </w:rPr>
        <w:t>в</w:t>
      </w:r>
      <w:r>
        <w:rPr>
          <w:rFonts w:ascii="Times New Roman CYR" w:hAnsi="Times New Roman CYR" w:cs="Times New Roman CYR"/>
          <w:sz w:val="28"/>
          <w:szCs w:val="28"/>
          <w:lang w:val="en-US"/>
        </w:rPr>
        <w:t xml:space="preserve"> = </w:t>
      </w:r>
      <w:r>
        <w:rPr>
          <w:rFonts w:ascii="Times New Roman CYR" w:hAnsi="Times New Roman CYR" w:cs="Times New Roman CYR"/>
          <w:sz w:val="28"/>
          <w:szCs w:val="28"/>
        </w:rPr>
        <w:t>-</w:t>
      </w:r>
      <w:r>
        <w:rPr>
          <w:rFonts w:ascii="Times New Roman CYR" w:hAnsi="Times New Roman CYR" w:cs="Times New Roman CYR"/>
          <w:sz w:val="28"/>
          <w:szCs w:val="28"/>
          <w:lang w:val="en-US"/>
        </w:rPr>
        <w:t>lg K</w:t>
      </w:r>
      <w:r>
        <w:rPr>
          <w:rFonts w:ascii="Times New Roman CYR" w:hAnsi="Times New Roman CYR" w:cs="Times New Roman CYR"/>
          <w:sz w:val="28"/>
          <w:szCs w:val="28"/>
          <w:vertAlign w:val="subscript"/>
        </w:rPr>
        <w:t>в</w:t>
      </w:r>
    </w:p>
    <w:p w14:paraId="0A935B7B" w14:textId="77777777" w:rsidR="00000000" w:rsidRDefault="00000000">
      <w:pPr>
        <w:ind w:firstLine="709"/>
        <w:rPr>
          <w:rFonts w:ascii="Times New Roman CYR" w:hAnsi="Times New Roman CYR" w:cs="Times New Roman CYR"/>
          <w:sz w:val="28"/>
          <w:szCs w:val="28"/>
        </w:rPr>
      </w:pPr>
    </w:p>
    <w:p w14:paraId="52293B0D"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На практике для оценки основных свойств соединения часто вместо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rPr>
        <w:t>в</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rPr>
        <w:t>в</w:t>
      </w:r>
      <w:r>
        <w:rPr>
          <w:rFonts w:ascii="Times New Roman CYR" w:hAnsi="Times New Roman CYR" w:cs="Times New Roman CYR"/>
          <w:sz w:val="28"/>
          <w:szCs w:val="28"/>
        </w:rPr>
        <w:t xml:space="preserve">) используют величину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сопряженной данному основанию кислоты ВН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12CB3280" w14:textId="77777777" w:rsidR="00000000" w:rsidRDefault="00000000">
      <w:pPr>
        <w:ind w:firstLine="709"/>
        <w:rPr>
          <w:rFonts w:ascii="Times New Roman CYR" w:hAnsi="Times New Roman CYR" w:cs="Times New Roman CYR"/>
          <w:sz w:val="28"/>
          <w:szCs w:val="28"/>
        </w:rPr>
      </w:pPr>
    </w:p>
    <w:p w14:paraId="185D04A3" w14:textId="295B5A1B"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7BBF598C" wp14:editId="2FE2C2E3">
            <wp:extent cx="2034540" cy="662940"/>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4540" cy="662940"/>
                    </a:xfrm>
                    <a:prstGeom prst="rect">
                      <a:avLst/>
                    </a:prstGeom>
                    <a:noFill/>
                    <a:ln>
                      <a:noFill/>
                    </a:ln>
                  </pic:spPr>
                </pic:pic>
              </a:graphicData>
            </a:graphic>
          </wp:inline>
        </w:drawing>
      </w:r>
    </w:p>
    <w:p w14:paraId="4387942B" w14:textId="77777777" w:rsidR="00000000" w:rsidRDefault="00000000">
      <w:pPr>
        <w:ind w:firstLine="709"/>
        <w:rPr>
          <w:rFonts w:ascii="Times New Roman CYR" w:hAnsi="Times New Roman CYR" w:cs="Times New Roman CYR"/>
          <w:sz w:val="28"/>
          <w:szCs w:val="28"/>
        </w:rPr>
      </w:pPr>
    </w:p>
    <w:p w14:paraId="434BFCE1"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Например, мерой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служит величина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иона аммония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(сопряженной аммиаку кислоты):</w:t>
      </w:r>
    </w:p>
    <w:p w14:paraId="5531139C" w14:textId="77777777" w:rsidR="00000000" w:rsidRDefault="00000000">
      <w:pPr>
        <w:ind w:firstLine="709"/>
        <w:rPr>
          <w:rFonts w:ascii="Times New Roman CYR" w:hAnsi="Times New Roman CYR" w:cs="Times New Roman CYR"/>
          <w:sz w:val="28"/>
          <w:szCs w:val="28"/>
        </w:rPr>
      </w:pPr>
    </w:p>
    <w:p w14:paraId="56CA39A3" w14:textId="77777777" w:rsidR="00000000" w:rsidRDefault="00000000">
      <w:pPr>
        <w:ind w:firstLine="709"/>
        <w:rPr>
          <w:rFonts w:ascii="Times New Roman CYR" w:hAnsi="Times New Roman CYR" w:cs="Times New Roman CYR"/>
          <w:sz w:val="28"/>
          <w:szCs w:val="28"/>
          <w:lang w:val="en-US"/>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H</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O </w:t>
      </w:r>
      <w:r>
        <w:rPr>
          <w:rFonts w:ascii="Times New Roman" w:hAnsi="Times New Roman" w:cs="Times New Roman"/>
          <w:sz w:val="28"/>
          <w:szCs w:val="28"/>
          <w:lang w:val="en-US"/>
        </w:rPr>
        <w:t>↔</w:t>
      </w:r>
      <w:r>
        <w:rPr>
          <w:rFonts w:ascii="Times New Roman CYR" w:hAnsi="Times New Roman CYR" w:cs="Times New Roman CYR"/>
          <w:sz w:val="28"/>
          <w:szCs w:val="28"/>
          <w:lang w:val="en-US"/>
        </w:rPr>
        <w:t xml:space="preserve"> NH</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H</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perscript"/>
          <w:lang w:val="en-US"/>
        </w:rPr>
        <w:t>+</w:t>
      </w:r>
    </w:p>
    <w:p w14:paraId="2712069F" w14:textId="2E8147D5"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76DB37EF" wp14:editId="799D9C47">
            <wp:extent cx="1828800" cy="685800"/>
            <wp:effectExtent l="0" t="0" r="0" b="0"/>
            <wp:docPr id="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685800"/>
                    </a:xfrm>
                    <a:prstGeom prst="rect">
                      <a:avLst/>
                    </a:prstGeom>
                    <a:noFill/>
                    <a:ln>
                      <a:noFill/>
                    </a:ln>
                  </pic:spPr>
                </pic:pic>
              </a:graphicData>
            </a:graphic>
          </wp:inline>
        </w:drawing>
      </w:r>
    </w:p>
    <w:p w14:paraId="7994C485" w14:textId="77777777" w:rsidR="00000000" w:rsidRDefault="00000000">
      <w:pPr>
        <w:ind w:firstLine="709"/>
        <w:rPr>
          <w:rFonts w:ascii="Times New Roman CYR" w:hAnsi="Times New Roman CYR" w:cs="Times New Roman CYR"/>
          <w:sz w:val="28"/>
          <w:szCs w:val="28"/>
        </w:rPr>
      </w:pPr>
    </w:p>
    <w:p w14:paraId="5B441C73" w14:textId="4DC440C3" w:rsidR="00000000" w:rsidRDefault="00000000">
      <w:pPr>
        <w:ind w:firstLine="709"/>
        <w:rPr>
          <w:rFonts w:ascii="Times New Roman CYR" w:hAnsi="Times New Roman CYR" w:cs="Times New Roman CYR"/>
          <w:b/>
          <w:bCs/>
          <w:sz w:val="28"/>
          <w:szCs w:val="28"/>
        </w:rPr>
      </w:pPr>
      <w:r>
        <w:rPr>
          <w:rFonts w:ascii="Times New Roman CYR" w:hAnsi="Times New Roman CYR" w:cs="Times New Roman CYR"/>
          <w:b/>
          <w:bCs/>
          <w:sz w:val="28"/>
          <w:szCs w:val="28"/>
        </w:rPr>
        <w:t xml:space="preserve">Чем меньше значение </w:t>
      </w:r>
      <w:r w:rsidR="00491361">
        <w:rPr>
          <w:rFonts w:ascii="Microsoft Sans Serif" w:hAnsi="Microsoft Sans Serif" w:cs="Microsoft Sans Serif"/>
          <w:noProof/>
          <w:sz w:val="17"/>
          <w:szCs w:val="17"/>
        </w:rPr>
        <w:drawing>
          <wp:inline distT="0" distB="0" distL="0" distR="0" wp14:anchorId="52FDB134" wp14:editId="7F612B3A">
            <wp:extent cx="472440" cy="304800"/>
            <wp:effectExtent l="0" t="0" r="0"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Pr>
          <w:rFonts w:ascii="Times New Roman CYR" w:hAnsi="Times New Roman CYR" w:cs="Times New Roman CYR"/>
          <w:b/>
          <w:bCs/>
          <w:sz w:val="28"/>
          <w:szCs w:val="28"/>
        </w:rPr>
        <w:t xml:space="preserve"> тем более сильным является основание.</w:t>
      </w:r>
    </w:p>
    <w:p w14:paraId="5F04449D"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Для кислоты и сопряженного ей основания в разбавленном водном растворе справедливо равенство:</w:t>
      </w:r>
    </w:p>
    <w:p w14:paraId="41C916E6" w14:textId="77777777" w:rsidR="00000000" w:rsidRDefault="00000000">
      <w:pPr>
        <w:ind w:firstLine="709"/>
        <w:rPr>
          <w:rFonts w:ascii="Times New Roman CYR" w:hAnsi="Times New Roman CYR" w:cs="Times New Roman CYR"/>
          <w:sz w:val="28"/>
          <w:szCs w:val="28"/>
        </w:rPr>
      </w:pPr>
    </w:p>
    <w:p w14:paraId="5A80438E"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w</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rPr>
        <w:t>в</w:t>
      </w:r>
    </w:p>
    <w:p w14:paraId="05AC7BCD" w14:textId="77777777" w:rsidR="00000000" w:rsidRDefault="00000000">
      <w:pPr>
        <w:ind w:firstLine="709"/>
        <w:rPr>
          <w:rFonts w:ascii="Times New Roman CYR" w:hAnsi="Times New Roman CYR" w:cs="Times New Roman CYR"/>
          <w:sz w:val="28"/>
          <w:szCs w:val="28"/>
        </w:rPr>
      </w:pPr>
    </w:p>
    <w:p w14:paraId="45161973"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где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w</w:t>
      </w:r>
      <w:r>
        <w:rPr>
          <w:rFonts w:ascii="Times New Roman CYR" w:hAnsi="Times New Roman CYR" w:cs="Times New Roman CYR"/>
          <w:sz w:val="28"/>
          <w:szCs w:val="28"/>
        </w:rPr>
        <w:t xml:space="preserve"> - ионное произведение воды.</w:t>
      </w:r>
    </w:p>
    <w:p w14:paraId="7BDB3088"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Кислотные свойства вещества в растворе зависят не только от его способности отдавать ион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но и от способности молекул растворителя его принять. Так хлороводород при растворении в воде практически полностью распадается на ионы, а его растворы в бензоле, наоборот, не содержат ионов и не проводят электрический ток. Чем больше у растворителя сродство к протону, тем легче диссоциирует в нем кислота. </w:t>
      </w:r>
      <w:r>
        <w:rPr>
          <w:rFonts w:ascii="Times New Roman CYR" w:hAnsi="Times New Roman CYR" w:cs="Times New Roman CYR"/>
          <w:b/>
          <w:bCs/>
          <w:sz w:val="28"/>
          <w:szCs w:val="28"/>
        </w:rPr>
        <w:t>Растворители с ярко выраженным сродством к ионам Н</w:t>
      </w:r>
      <w:r>
        <w:rPr>
          <w:rFonts w:ascii="Times New Roman CYR" w:hAnsi="Times New Roman CYR" w:cs="Times New Roman CYR"/>
          <w:b/>
          <w:bCs/>
          <w:sz w:val="28"/>
          <w:szCs w:val="28"/>
          <w:vertAlign w:val="superscript"/>
        </w:rPr>
        <w:t>+</w:t>
      </w:r>
      <w:r>
        <w:rPr>
          <w:rFonts w:ascii="Times New Roman CYR" w:hAnsi="Times New Roman CYR" w:cs="Times New Roman CYR"/>
          <w:b/>
          <w:bCs/>
          <w:sz w:val="28"/>
          <w:szCs w:val="28"/>
        </w:rPr>
        <w:t xml:space="preserve"> называются</w:t>
      </w:r>
      <w:r>
        <w:rPr>
          <w:rFonts w:ascii="Times New Roman CYR" w:hAnsi="Times New Roman CYR" w:cs="Times New Roman CYR"/>
          <w:sz w:val="28"/>
          <w:szCs w:val="28"/>
        </w:rPr>
        <w:t xml:space="preserve"> </w:t>
      </w:r>
      <w:r>
        <w:rPr>
          <w:rFonts w:ascii="Times New Roman CYR" w:hAnsi="Times New Roman CYR" w:cs="Times New Roman CYR"/>
          <w:b/>
          <w:bCs/>
          <w:sz w:val="28"/>
          <w:szCs w:val="28"/>
        </w:rPr>
        <w:t>протофильными</w:t>
      </w:r>
      <w:r>
        <w:rPr>
          <w:rFonts w:ascii="Times New Roman CYR" w:hAnsi="Times New Roman CYR" w:cs="Times New Roman CYR"/>
          <w:sz w:val="28"/>
          <w:szCs w:val="28"/>
        </w:rPr>
        <w:t>.</w:t>
      </w:r>
    </w:p>
    <w:p w14:paraId="22E1D6DB"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В таких растворителях (жидкий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гидразин) даже очень слабые в водных растворах кислоты: </w:t>
      </w:r>
      <w:r>
        <w:rPr>
          <w:rFonts w:ascii="Times New Roman CYR" w:hAnsi="Times New Roman CYR" w:cs="Times New Roman CYR"/>
          <w:sz w:val="28"/>
          <w:szCs w:val="28"/>
          <w:lang w:val="en-US"/>
        </w:rPr>
        <w:t>HCN</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w:t>
      </w:r>
      <w:r>
        <w:rPr>
          <w:rFonts w:ascii="Times New Roman CYR" w:hAnsi="Times New Roman CYR" w:cs="Times New Roman CYR"/>
          <w:sz w:val="28"/>
          <w:szCs w:val="28"/>
        </w:rPr>
        <w:t xml:space="preserve"> - являются сильными.</w:t>
      </w:r>
    </w:p>
    <w:p w14:paraId="4CFC565E"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Растворители, обладающие гораздо большей способностью к отдаче протона, чем к его присоединению называются протогенными. К ним относятся: ледяная уксусная кислота, концентрированная (100%)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и др. В их среде затрудняется диссоциация кислот, но облегчается ионизация оснований.</w:t>
      </w:r>
    </w:p>
    <w:p w14:paraId="078A2094"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Растворители, обладающие сравнимой способностью к присоединению или отдаче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называются амфипротными. К ним относятся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О, </w:t>
      </w:r>
      <w:r>
        <w:rPr>
          <w:rFonts w:ascii="Times New Roman CYR" w:hAnsi="Times New Roman CYR" w:cs="Times New Roman CYR"/>
          <w:sz w:val="28"/>
          <w:szCs w:val="28"/>
        </w:rPr>
        <w:lastRenderedPageBreak/>
        <w:t>насыщенные одноатомные спирты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ОН, С</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Н</w:t>
      </w:r>
      <w:r>
        <w:rPr>
          <w:rFonts w:ascii="Times New Roman CYR" w:hAnsi="Times New Roman CYR" w:cs="Times New Roman CYR"/>
          <w:sz w:val="28"/>
          <w:szCs w:val="28"/>
          <w:vertAlign w:val="subscript"/>
        </w:rPr>
        <w:t>5</w:t>
      </w:r>
      <w:r>
        <w:rPr>
          <w:rFonts w:ascii="Times New Roman CYR" w:hAnsi="Times New Roman CYR" w:cs="Times New Roman CYR"/>
          <w:sz w:val="28"/>
          <w:szCs w:val="28"/>
        </w:rPr>
        <w:t>ОН) и т.д.).</w:t>
      </w:r>
    </w:p>
    <w:p w14:paraId="59108BBB"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Существуют также </w:t>
      </w:r>
      <w:r>
        <w:rPr>
          <w:rFonts w:ascii="Times New Roman CYR" w:hAnsi="Times New Roman CYR" w:cs="Times New Roman CYR"/>
          <w:b/>
          <w:bCs/>
          <w:sz w:val="28"/>
          <w:szCs w:val="28"/>
        </w:rPr>
        <w:t>апротонные</w:t>
      </w:r>
      <w:r>
        <w:rPr>
          <w:rFonts w:ascii="Times New Roman CYR" w:hAnsi="Times New Roman CYR" w:cs="Times New Roman CYR"/>
          <w:sz w:val="28"/>
          <w:szCs w:val="28"/>
        </w:rPr>
        <w:t xml:space="preserve"> или инертные </w:t>
      </w:r>
      <w:r>
        <w:rPr>
          <w:rFonts w:ascii="Times New Roman CYR" w:hAnsi="Times New Roman CYR" w:cs="Times New Roman CYR"/>
          <w:b/>
          <w:bCs/>
          <w:sz w:val="28"/>
          <w:szCs w:val="28"/>
        </w:rPr>
        <w:t>растворители</w:t>
      </w:r>
      <w:r>
        <w:rPr>
          <w:rFonts w:ascii="Times New Roman CYR" w:hAnsi="Times New Roman CYR" w:cs="Times New Roman CYR"/>
          <w:sz w:val="28"/>
          <w:szCs w:val="28"/>
        </w:rPr>
        <w:t xml:space="preserve">: бензол, толуол, </w:t>
      </w:r>
      <w:r>
        <w:rPr>
          <w:rFonts w:ascii="Times New Roman CYR" w:hAnsi="Times New Roman CYR" w:cs="Times New Roman CYR"/>
          <w:sz w:val="28"/>
          <w:szCs w:val="28"/>
          <w:lang w:val="en-US"/>
        </w:rPr>
        <w:t>CCl</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дихлорэтан и др. Способность присоединять или отщеплять от себя ион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у них выражена очень слабо. В их среде кислоты и основания практически не диссоциируют.</w:t>
      </w:r>
    </w:p>
    <w:p w14:paraId="6ACD6716"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Таким образом, в теории кислот и оснований Бренстеда-Лоури понятия кислоты и основания относятся лишь к функции, которую выполняет рассматриваемое соединение в том или ином процессе. Одно и тоже вещество может в одних условиях проявлять себя как кислота, а в других - как основание.</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Например, в водных растворах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СООН ведет себя как кислота:</w:t>
      </w:r>
    </w:p>
    <w:p w14:paraId="64F8B53F" w14:textId="77777777" w:rsidR="00000000" w:rsidRDefault="00000000">
      <w:pPr>
        <w:ind w:firstLine="709"/>
        <w:rPr>
          <w:rFonts w:ascii="Times New Roman CYR" w:hAnsi="Times New Roman CYR" w:cs="Times New Roman CYR"/>
          <w:sz w:val="28"/>
          <w:szCs w:val="28"/>
        </w:rPr>
      </w:pPr>
    </w:p>
    <w:p w14:paraId="344E0E46"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СООН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О </w:t>
      </w:r>
      <w:r>
        <w:rPr>
          <w:rFonts w:ascii="Times New Roman" w:hAnsi="Times New Roman" w:cs="Times New Roman"/>
          <w:sz w:val="28"/>
          <w:szCs w:val="28"/>
        </w:rPr>
        <w:t>↔</w:t>
      </w:r>
      <w:r>
        <w:rPr>
          <w:rFonts w:ascii="Times New Roman CYR" w:hAnsi="Times New Roman CYR" w:cs="Times New Roman CYR"/>
          <w:sz w:val="28"/>
          <w:szCs w:val="28"/>
        </w:rPr>
        <w:t xml:space="preserve">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О</w:t>
      </w:r>
      <w:r>
        <w:rPr>
          <w:rFonts w:ascii="Times New Roman CYR" w:hAnsi="Times New Roman CYR" w:cs="Times New Roman CYR"/>
          <w:sz w:val="28"/>
          <w:szCs w:val="28"/>
          <w:vertAlign w:val="superscript"/>
        </w:rPr>
        <w:t>+</w:t>
      </w:r>
    </w:p>
    <w:p w14:paraId="31866BD9" w14:textId="77777777" w:rsidR="00000000" w:rsidRDefault="00000000">
      <w:pPr>
        <w:ind w:firstLine="709"/>
        <w:rPr>
          <w:rFonts w:ascii="Times New Roman CYR" w:hAnsi="Times New Roman CYR" w:cs="Times New Roman CYR"/>
          <w:sz w:val="28"/>
          <w:szCs w:val="28"/>
        </w:rPr>
      </w:pPr>
    </w:p>
    <w:p w14:paraId="0CE42433"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а в 100%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 как основание</w:t>
      </w:r>
    </w:p>
    <w:p w14:paraId="274D6D21" w14:textId="77777777" w:rsidR="00000000" w:rsidRDefault="00000000">
      <w:pPr>
        <w:ind w:firstLine="709"/>
        <w:rPr>
          <w:rFonts w:ascii="Times New Roman CYR" w:hAnsi="Times New Roman CYR" w:cs="Times New Roman CYR"/>
          <w:sz w:val="28"/>
          <w:szCs w:val="28"/>
        </w:rPr>
      </w:pPr>
    </w:p>
    <w:p w14:paraId="60605218"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СООН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HSO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 xml:space="preserve">- </w:t>
      </w:r>
      <w:r>
        <w:rPr>
          <w:rFonts w:ascii="Times New Roman CYR" w:hAnsi="Times New Roman CYR" w:cs="Times New Roman CYR"/>
          <w:sz w:val="28"/>
          <w:szCs w:val="28"/>
        </w:rPr>
        <w:t>+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СООН</w:t>
      </w:r>
      <w:r>
        <w:rPr>
          <w:rFonts w:ascii="Times New Roman CYR" w:hAnsi="Times New Roman CYR" w:cs="Times New Roman CYR"/>
          <w:sz w:val="28"/>
          <w:szCs w:val="28"/>
          <w:vertAlign w:val="subscript"/>
        </w:rPr>
        <w:t>2</w:t>
      </w:r>
      <w:r>
        <w:rPr>
          <w:rFonts w:ascii="Times New Roman CYR" w:hAnsi="Times New Roman CYR" w:cs="Times New Roman CYR"/>
          <w:sz w:val="28"/>
          <w:szCs w:val="28"/>
          <w:vertAlign w:val="superscript"/>
        </w:rPr>
        <w:t>+</w:t>
      </w:r>
    </w:p>
    <w:p w14:paraId="6A3A4B04"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Таким образом, в системе из двух способных взаимодействовать с протоном веществ основанием всегда служит то, которое его прочнее связывает, т.е. характеризуется большим протонным сродством.</w:t>
      </w:r>
    </w:p>
    <w:p w14:paraId="595CD2A9"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Все реакции кислотно-основного взаимодействия (ионизации, нейтрализации, гидролиза) согласно теории Бренстеда-Лоури состоят в обратимом переносе протона от кислоты к основанию, вследствие чего их часто называют </w:t>
      </w:r>
      <w:r>
        <w:rPr>
          <w:rFonts w:ascii="Times New Roman CYR" w:hAnsi="Times New Roman CYR" w:cs="Times New Roman CYR"/>
          <w:b/>
          <w:bCs/>
          <w:sz w:val="28"/>
          <w:szCs w:val="28"/>
        </w:rPr>
        <w:t>протолитическими</w:t>
      </w:r>
      <w:r>
        <w:rPr>
          <w:rFonts w:ascii="Times New Roman CYR" w:hAnsi="Times New Roman CYR" w:cs="Times New Roman CYR"/>
          <w:sz w:val="28"/>
          <w:szCs w:val="28"/>
        </w:rPr>
        <w:t>. В результате такого взаимодействия образуется пара частиц: одна из которых опять способна отдавать протон, а другая его присоединять. Таким образом кислота оказывается в равновесии с сопряженным основанием, а основание с сопряженной кислотой:</w:t>
      </w:r>
    </w:p>
    <w:p w14:paraId="590A810C" w14:textId="77777777" w:rsidR="00000000" w:rsidRDefault="00000000">
      <w:pPr>
        <w:ind w:firstLine="709"/>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885"/>
        <w:gridCol w:w="329"/>
        <w:gridCol w:w="1098"/>
        <w:gridCol w:w="416"/>
        <w:gridCol w:w="2090"/>
        <w:gridCol w:w="329"/>
        <w:gridCol w:w="2266"/>
      </w:tblGrid>
      <w:tr w:rsidR="00000000" w14:paraId="1176F146" w14:textId="77777777">
        <w:tblPrEx>
          <w:tblCellMar>
            <w:top w:w="0" w:type="dxa"/>
            <w:bottom w:w="0" w:type="dxa"/>
          </w:tblCellMar>
        </w:tblPrEx>
        <w:tc>
          <w:tcPr>
            <w:tcW w:w="885" w:type="dxa"/>
            <w:tcBorders>
              <w:top w:val="nil"/>
              <w:left w:val="nil"/>
              <w:bottom w:val="nil"/>
              <w:right w:val="nil"/>
            </w:tcBorders>
          </w:tcPr>
          <w:p w14:paraId="0305998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НА</w:t>
            </w:r>
          </w:p>
        </w:tc>
        <w:tc>
          <w:tcPr>
            <w:tcW w:w="329" w:type="dxa"/>
            <w:tcBorders>
              <w:top w:val="nil"/>
              <w:left w:val="nil"/>
              <w:bottom w:val="nil"/>
              <w:right w:val="nil"/>
            </w:tcBorders>
          </w:tcPr>
          <w:p w14:paraId="08DFA6A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07097A5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В</w:t>
            </w:r>
          </w:p>
        </w:tc>
        <w:tc>
          <w:tcPr>
            <w:tcW w:w="416" w:type="dxa"/>
            <w:tcBorders>
              <w:top w:val="nil"/>
              <w:left w:val="nil"/>
              <w:bottom w:val="nil"/>
              <w:right w:val="nil"/>
            </w:tcBorders>
          </w:tcPr>
          <w:p w14:paraId="11A71704"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090" w:type="dxa"/>
            <w:tcBorders>
              <w:top w:val="nil"/>
              <w:left w:val="nil"/>
              <w:bottom w:val="nil"/>
              <w:right w:val="nil"/>
            </w:tcBorders>
          </w:tcPr>
          <w:p w14:paraId="522AC09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ВН</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4D2BF08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66" w:type="dxa"/>
            <w:tcBorders>
              <w:top w:val="nil"/>
              <w:left w:val="nil"/>
              <w:bottom w:val="nil"/>
              <w:right w:val="nil"/>
            </w:tcBorders>
          </w:tcPr>
          <w:p w14:paraId="29B7F67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А</w:t>
            </w:r>
            <w:r>
              <w:rPr>
                <w:rFonts w:ascii="Times New Roman CYR" w:hAnsi="Times New Roman CYR" w:cs="Times New Roman CYR"/>
                <w:sz w:val="20"/>
                <w:szCs w:val="20"/>
                <w:vertAlign w:val="superscript"/>
              </w:rPr>
              <w:t>-</w:t>
            </w:r>
          </w:p>
        </w:tc>
      </w:tr>
      <w:tr w:rsidR="00000000" w14:paraId="4797E57E" w14:textId="77777777">
        <w:tblPrEx>
          <w:tblCellMar>
            <w:top w:w="0" w:type="dxa"/>
            <w:bottom w:w="0" w:type="dxa"/>
          </w:tblCellMar>
        </w:tblPrEx>
        <w:tc>
          <w:tcPr>
            <w:tcW w:w="885" w:type="dxa"/>
            <w:tcBorders>
              <w:top w:val="nil"/>
              <w:left w:val="nil"/>
              <w:bottom w:val="nil"/>
              <w:right w:val="nil"/>
            </w:tcBorders>
          </w:tcPr>
          <w:p w14:paraId="1B12CD3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3B56A492"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05F451B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08F01A80" w14:textId="77777777" w:rsidR="00000000" w:rsidRDefault="00000000">
            <w:pPr>
              <w:rPr>
                <w:rFonts w:ascii="Times New Roman CYR" w:hAnsi="Times New Roman CYR" w:cs="Times New Roman CYR"/>
                <w:sz w:val="20"/>
                <w:szCs w:val="20"/>
              </w:rPr>
            </w:pPr>
          </w:p>
        </w:tc>
        <w:tc>
          <w:tcPr>
            <w:tcW w:w="2090" w:type="dxa"/>
            <w:tcBorders>
              <w:top w:val="nil"/>
              <w:left w:val="nil"/>
              <w:bottom w:val="nil"/>
              <w:right w:val="nil"/>
            </w:tcBorders>
          </w:tcPr>
          <w:p w14:paraId="7E35506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 кислота</w:t>
            </w:r>
          </w:p>
        </w:tc>
        <w:tc>
          <w:tcPr>
            <w:tcW w:w="329" w:type="dxa"/>
            <w:tcBorders>
              <w:top w:val="nil"/>
              <w:left w:val="nil"/>
              <w:bottom w:val="nil"/>
              <w:right w:val="nil"/>
            </w:tcBorders>
          </w:tcPr>
          <w:p w14:paraId="5E5975B3"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2905339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294BE5DF" w14:textId="77777777" w:rsidR="00000000" w:rsidRDefault="00000000">
      <w:pPr>
        <w:spacing w:line="360" w:lineRule="auto"/>
        <w:ind w:firstLine="709"/>
        <w:jc w:val="both"/>
        <w:rPr>
          <w:rFonts w:ascii="Times New Roman CYR" w:hAnsi="Times New Roman CYR" w:cs="Times New Roman CYR"/>
          <w:sz w:val="28"/>
          <w:szCs w:val="28"/>
        </w:rPr>
      </w:pPr>
    </w:p>
    <w:p w14:paraId="5FBE605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Данный процесс называется кислотно-основным равновесием. До наступления равновесия он преимущественно протекает в сторону образования более слабой кислоты и основания.</w:t>
      </w:r>
    </w:p>
    <w:p w14:paraId="258302F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Рассмотрим примеры некоторых протолитических реакций.</w:t>
      </w:r>
    </w:p>
    <w:p w14:paraId="2E16506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Реакция ионизации:</w:t>
      </w:r>
    </w:p>
    <w:p w14:paraId="2917EEAA"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1126"/>
        <w:gridCol w:w="329"/>
        <w:gridCol w:w="1098"/>
        <w:gridCol w:w="416"/>
        <w:gridCol w:w="2266"/>
        <w:gridCol w:w="329"/>
        <w:gridCol w:w="2045"/>
      </w:tblGrid>
      <w:tr w:rsidR="00000000" w14:paraId="42917FCD" w14:textId="77777777">
        <w:tblPrEx>
          <w:tblCellMar>
            <w:top w:w="0" w:type="dxa"/>
            <w:bottom w:w="0" w:type="dxa"/>
          </w:tblCellMar>
        </w:tblPrEx>
        <w:tc>
          <w:tcPr>
            <w:tcW w:w="1126" w:type="dxa"/>
            <w:tcBorders>
              <w:top w:val="nil"/>
              <w:left w:val="nil"/>
              <w:bottom w:val="nil"/>
              <w:right w:val="nil"/>
            </w:tcBorders>
          </w:tcPr>
          <w:p w14:paraId="162BC8C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СООН</w:t>
            </w:r>
          </w:p>
        </w:tc>
        <w:tc>
          <w:tcPr>
            <w:tcW w:w="329" w:type="dxa"/>
            <w:tcBorders>
              <w:top w:val="nil"/>
              <w:left w:val="nil"/>
              <w:bottom w:val="nil"/>
              <w:right w:val="nil"/>
            </w:tcBorders>
          </w:tcPr>
          <w:p w14:paraId="28C225A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3B2C3E3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w:t>
            </w:r>
          </w:p>
        </w:tc>
        <w:tc>
          <w:tcPr>
            <w:tcW w:w="416" w:type="dxa"/>
            <w:tcBorders>
              <w:top w:val="nil"/>
              <w:left w:val="nil"/>
              <w:bottom w:val="nil"/>
              <w:right w:val="nil"/>
            </w:tcBorders>
          </w:tcPr>
          <w:p w14:paraId="2B5B415C"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266" w:type="dxa"/>
            <w:tcBorders>
              <w:top w:val="nil"/>
              <w:left w:val="nil"/>
              <w:bottom w:val="nil"/>
              <w:right w:val="nil"/>
            </w:tcBorders>
          </w:tcPr>
          <w:p w14:paraId="66E7328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4E8B13A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045" w:type="dxa"/>
            <w:tcBorders>
              <w:top w:val="nil"/>
              <w:left w:val="nil"/>
              <w:bottom w:val="nil"/>
              <w:right w:val="nil"/>
            </w:tcBorders>
          </w:tcPr>
          <w:p w14:paraId="487EC67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О</w:t>
            </w:r>
            <w:r>
              <w:rPr>
                <w:rFonts w:ascii="Times New Roman CYR" w:hAnsi="Times New Roman CYR" w:cs="Times New Roman CYR"/>
                <w:sz w:val="20"/>
                <w:szCs w:val="20"/>
                <w:vertAlign w:val="superscript"/>
              </w:rPr>
              <w:t>+</w:t>
            </w:r>
          </w:p>
        </w:tc>
      </w:tr>
      <w:tr w:rsidR="00000000" w14:paraId="12DB0521" w14:textId="77777777">
        <w:tblPrEx>
          <w:tblCellMar>
            <w:top w:w="0" w:type="dxa"/>
            <w:bottom w:w="0" w:type="dxa"/>
          </w:tblCellMar>
        </w:tblPrEx>
        <w:tc>
          <w:tcPr>
            <w:tcW w:w="1126" w:type="dxa"/>
            <w:tcBorders>
              <w:top w:val="nil"/>
              <w:left w:val="nil"/>
              <w:bottom w:val="nil"/>
              <w:right w:val="nil"/>
            </w:tcBorders>
          </w:tcPr>
          <w:p w14:paraId="62E0C5D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6413D327"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6798628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5C0882F9"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4D95718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329" w:type="dxa"/>
            <w:tcBorders>
              <w:top w:val="nil"/>
              <w:left w:val="nil"/>
              <w:bottom w:val="nil"/>
              <w:right w:val="nil"/>
            </w:tcBorders>
          </w:tcPr>
          <w:p w14:paraId="79325263" w14:textId="77777777" w:rsidR="00000000" w:rsidRDefault="00000000">
            <w:pPr>
              <w:rPr>
                <w:rFonts w:ascii="Times New Roman CYR" w:hAnsi="Times New Roman CYR" w:cs="Times New Roman CYR"/>
                <w:sz w:val="20"/>
                <w:szCs w:val="20"/>
              </w:rPr>
            </w:pPr>
          </w:p>
        </w:tc>
        <w:tc>
          <w:tcPr>
            <w:tcW w:w="2045" w:type="dxa"/>
            <w:tcBorders>
              <w:top w:val="nil"/>
              <w:left w:val="nil"/>
              <w:bottom w:val="nil"/>
              <w:right w:val="nil"/>
            </w:tcBorders>
          </w:tcPr>
          <w:p w14:paraId="1A8F9F3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 кислота</w:t>
            </w:r>
          </w:p>
        </w:tc>
      </w:tr>
    </w:tbl>
    <w:p w14:paraId="77606CCC" w14:textId="77777777" w:rsidR="00000000" w:rsidRDefault="00000000">
      <w:pPr>
        <w:spacing w:line="360" w:lineRule="auto"/>
        <w:ind w:firstLine="709"/>
        <w:jc w:val="both"/>
        <w:rPr>
          <w:rFonts w:ascii="Times New Roman CYR" w:hAnsi="Times New Roman CYR" w:cs="Times New Roman CYR"/>
          <w:sz w:val="28"/>
          <w:szCs w:val="28"/>
        </w:rPr>
      </w:pPr>
    </w:p>
    <w:p w14:paraId="493AB59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Реакция, протекающая в прямом направлении является реакцией ионизации уксусной кислоты, а в обратном направлении - реакцией нейтрализации основания (ацетат-иона) кислотой.</w:t>
      </w:r>
    </w:p>
    <w:p w14:paraId="6C550F7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Равновесие данного обратимого процесса в значительной степени смещено влево, т.к.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СООН и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 являются более слабыми кислотой и основанием, чем 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(табл. 13). Данная прямая реакция является реакцией гидролиза ацетат-иона, а обратная - реакцией нейтрализации уксусной кислоты сильным основанием ОН-.</w:t>
      </w:r>
    </w:p>
    <w:p w14:paraId="163FF9A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Реакция гидролиза:</w:t>
      </w:r>
    </w:p>
    <w:p w14:paraId="2F58CA24"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1098"/>
        <w:gridCol w:w="329"/>
        <w:gridCol w:w="885"/>
        <w:gridCol w:w="416"/>
        <w:gridCol w:w="2045"/>
        <w:gridCol w:w="329"/>
        <w:gridCol w:w="2266"/>
      </w:tblGrid>
      <w:tr w:rsidR="00000000" w14:paraId="5301DE20" w14:textId="77777777">
        <w:tblPrEx>
          <w:tblCellMar>
            <w:top w:w="0" w:type="dxa"/>
            <w:bottom w:w="0" w:type="dxa"/>
          </w:tblCellMar>
        </w:tblPrEx>
        <w:tc>
          <w:tcPr>
            <w:tcW w:w="1098" w:type="dxa"/>
            <w:tcBorders>
              <w:top w:val="nil"/>
              <w:left w:val="nil"/>
              <w:bottom w:val="nil"/>
              <w:right w:val="nil"/>
            </w:tcBorders>
          </w:tcPr>
          <w:p w14:paraId="7C4F9E7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157E4D5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885" w:type="dxa"/>
            <w:tcBorders>
              <w:top w:val="nil"/>
              <w:left w:val="nil"/>
              <w:bottom w:val="nil"/>
              <w:right w:val="nil"/>
            </w:tcBorders>
          </w:tcPr>
          <w:p w14:paraId="2968BE1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w:t>
            </w:r>
          </w:p>
        </w:tc>
        <w:tc>
          <w:tcPr>
            <w:tcW w:w="416" w:type="dxa"/>
            <w:tcBorders>
              <w:top w:val="nil"/>
              <w:left w:val="nil"/>
              <w:bottom w:val="nil"/>
              <w:right w:val="nil"/>
            </w:tcBorders>
          </w:tcPr>
          <w:p w14:paraId="3250815F"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045" w:type="dxa"/>
            <w:tcBorders>
              <w:top w:val="nil"/>
              <w:left w:val="nil"/>
              <w:bottom w:val="nil"/>
              <w:right w:val="nil"/>
            </w:tcBorders>
          </w:tcPr>
          <w:p w14:paraId="557FE24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СООН</w:t>
            </w:r>
          </w:p>
        </w:tc>
        <w:tc>
          <w:tcPr>
            <w:tcW w:w="329" w:type="dxa"/>
            <w:tcBorders>
              <w:top w:val="nil"/>
              <w:left w:val="nil"/>
              <w:bottom w:val="nil"/>
              <w:right w:val="nil"/>
            </w:tcBorders>
          </w:tcPr>
          <w:p w14:paraId="261832D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66" w:type="dxa"/>
            <w:tcBorders>
              <w:top w:val="nil"/>
              <w:left w:val="nil"/>
              <w:bottom w:val="nil"/>
              <w:right w:val="nil"/>
            </w:tcBorders>
          </w:tcPr>
          <w:p w14:paraId="0963C17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w:t>
            </w:r>
            <w:r>
              <w:rPr>
                <w:rFonts w:ascii="Times New Roman CYR" w:hAnsi="Times New Roman CYR" w:cs="Times New Roman CYR"/>
                <w:sz w:val="20"/>
                <w:szCs w:val="20"/>
                <w:lang w:val="en-US"/>
              </w:rPr>
              <w:t>H</w:t>
            </w:r>
            <w:r>
              <w:rPr>
                <w:rFonts w:ascii="Times New Roman CYR" w:hAnsi="Times New Roman CYR" w:cs="Times New Roman CYR"/>
                <w:sz w:val="20"/>
                <w:szCs w:val="20"/>
                <w:vertAlign w:val="superscript"/>
              </w:rPr>
              <w:t>-</w:t>
            </w:r>
          </w:p>
        </w:tc>
      </w:tr>
      <w:tr w:rsidR="00000000" w14:paraId="74857D66" w14:textId="77777777">
        <w:tblPrEx>
          <w:tblCellMar>
            <w:top w:w="0" w:type="dxa"/>
            <w:bottom w:w="0" w:type="dxa"/>
          </w:tblCellMar>
        </w:tblPrEx>
        <w:tc>
          <w:tcPr>
            <w:tcW w:w="1098" w:type="dxa"/>
            <w:tcBorders>
              <w:top w:val="nil"/>
              <w:left w:val="nil"/>
              <w:bottom w:val="nil"/>
              <w:right w:val="nil"/>
            </w:tcBorders>
          </w:tcPr>
          <w:p w14:paraId="09B3610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lastRenderedPageBreak/>
              <w:t>основание</w:t>
            </w:r>
          </w:p>
        </w:tc>
        <w:tc>
          <w:tcPr>
            <w:tcW w:w="329" w:type="dxa"/>
            <w:tcBorders>
              <w:top w:val="nil"/>
              <w:left w:val="nil"/>
              <w:bottom w:val="nil"/>
              <w:right w:val="nil"/>
            </w:tcBorders>
          </w:tcPr>
          <w:p w14:paraId="419EC0A8" w14:textId="77777777" w:rsidR="00000000" w:rsidRDefault="00000000">
            <w:pPr>
              <w:rPr>
                <w:rFonts w:ascii="Times New Roman CYR" w:hAnsi="Times New Roman CYR" w:cs="Times New Roman CYR"/>
                <w:sz w:val="20"/>
                <w:szCs w:val="20"/>
              </w:rPr>
            </w:pPr>
          </w:p>
        </w:tc>
        <w:tc>
          <w:tcPr>
            <w:tcW w:w="885" w:type="dxa"/>
            <w:tcBorders>
              <w:top w:val="nil"/>
              <w:left w:val="nil"/>
              <w:bottom w:val="nil"/>
              <w:right w:val="nil"/>
            </w:tcBorders>
          </w:tcPr>
          <w:p w14:paraId="0251C8D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416" w:type="dxa"/>
            <w:tcBorders>
              <w:top w:val="nil"/>
              <w:left w:val="nil"/>
              <w:bottom w:val="nil"/>
              <w:right w:val="nil"/>
            </w:tcBorders>
          </w:tcPr>
          <w:p w14:paraId="1691E753" w14:textId="77777777" w:rsidR="00000000" w:rsidRDefault="00000000">
            <w:pPr>
              <w:rPr>
                <w:rFonts w:ascii="Times New Roman CYR" w:hAnsi="Times New Roman CYR" w:cs="Times New Roman CYR"/>
                <w:sz w:val="20"/>
                <w:szCs w:val="20"/>
              </w:rPr>
            </w:pPr>
          </w:p>
        </w:tc>
        <w:tc>
          <w:tcPr>
            <w:tcW w:w="2045" w:type="dxa"/>
            <w:tcBorders>
              <w:top w:val="nil"/>
              <w:left w:val="nil"/>
              <w:bottom w:val="nil"/>
              <w:right w:val="nil"/>
            </w:tcBorders>
          </w:tcPr>
          <w:p w14:paraId="7664161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сопряженная кислота</w:t>
            </w:r>
          </w:p>
        </w:tc>
        <w:tc>
          <w:tcPr>
            <w:tcW w:w="329" w:type="dxa"/>
            <w:tcBorders>
              <w:top w:val="nil"/>
              <w:left w:val="nil"/>
              <w:bottom w:val="nil"/>
              <w:right w:val="nil"/>
            </w:tcBorders>
          </w:tcPr>
          <w:p w14:paraId="78B1923A"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4F43BBB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4028A00D" w14:textId="77777777" w:rsidR="00000000" w:rsidRDefault="00000000">
      <w:pPr>
        <w:spacing w:line="360" w:lineRule="auto"/>
        <w:ind w:firstLine="709"/>
        <w:jc w:val="both"/>
        <w:rPr>
          <w:rFonts w:ascii="Times New Roman CYR" w:hAnsi="Times New Roman CYR" w:cs="Times New Roman CYR"/>
          <w:sz w:val="28"/>
          <w:szCs w:val="28"/>
        </w:rPr>
      </w:pPr>
    </w:p>
    <w:p w14:paraId="7190DF1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Более слабыми кислотой и основанием являются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 и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(табл. 13) и поэтому в данном обратимом процессе обратная реакция превалирует над прямой.</w:t>
      </w:r>
    </w:p>
    <w:p w14:paraId="5DCAB94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Теория Бренстеда-Лоури хоть и является более совершенной чем теория Аррениуса, однако тоже имеет определенные недостатки и не является всеобъемлющей. Так она неприменима ко многим веществам, проявляющим функцию кислоты, но не содержащих в своем составе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например: </w:t>
      </w:r>
      <w:r>
        <w:rPr>
          <w:rFonts w:ascii="Times New Roman CYR" w:hAnsi="Times New Roman CYR" w:cs="Times New Roman CYR"/>
          <w:sz w:val="28"/>
          <w:szCs w:val="28"/>
          <w:lang w:val="en-US"/>
        </w:rPr>
        <w:t>BCl</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AlCl</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BF</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FeCl</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и др.</w:t>
      </w:r>
    </w:p>
    <w:p w14:paraId="453225C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1923 г. Г.Н. Льюисом была выдвинута </w:t>
      </w:r>
      <w:r>
        <w:rPr>
          <w:rFonts w:ascii="Times New Roman CYR" w:hAnsi="Times New Roman CYR" w:cs="Times New Roman CYR"/>
          <w:b/>
          <w:bCs/>
          <w:sz w:val="28"/>
          <w:szCs w:val="28"/>
        </w:rPr>
        <w:t>электронная теория кислот и оснований</w:t>
      </w:r>
      <w:r>
        <w:rPr>
          <w:rFonts w:ascii="Times New Roman CYR" w:hAnsi="Times New Roman CYR" w:cs="Times New Roman CYR"/>
          <w:sz w:val="28"/>
          <w:szCs w:val="28"/>
        </w:rPr>
        <w:t>, в которой кислотные свойства соединения вообще не связываются с наличием в нем ионов водорода.</w:t>
      </w:r>
    </w:p>
    <w:p w14:paraId="2FDFB5A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Гильберт Нильтон Льюис (1875 -1946). </w:t>
      </w:r>
      <w:r>
        <w:rPr>
          <w:rFonts w:ascii="Times New Roman CYR" w:hAnsi="Times New Roman CYR" w:cs="Times New Roman CYR"/>
          <w:sz w:val="28"/>
          <w:szCs w:val="28"/>
        </w:rPr>
        <w:t>Американский физикохимик. Его работы связаны с химической термодинамикой и теорией строения вещества. Ввел в термодинамике понятие активности, разработал теорию обобщенных электронных пар в моделях ковалентной связи (структуры Льюиса). В 1926 г. практически одновременно с Бренстедом и Лоури предложил новую концепцию кислот и оснований, в которой основой является передача электронной пары: кислоты Льюиса - акцепторы, а основания Льюиса - доноры электронной пары. В 1930-х гг. Льюис разработал метод получения тяжелой воды.</w:t>
      </w:r>
    </w:p>
    <w:p w14:paraId="3448C5A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Кислотой по Льюису является частица (молекула или ион), способная присоединять электронную пару (акцептор электронной пары). Она должна содержать в своем составе атом с незаполненной до октета внешней электронной оболочкой: </w:t>
      </w:r>
      <w:r>
        <w:rPr>
          <w:rFonts w:ascii="Times New Roman CYR" w:hAnsi="Times New Roman CYR" w:cs="Times New Roman CYR"/>
          <w:sz w:val="28"/>
          <w:szCs w:val="28"/>
          <w:lang w:val="en-US"/>
        </w:rPr>
        <w:t>BF</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AlCl</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BeCl</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Cu</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xml:space="preserve"> и т.д. Основанием является частица (молекула или ион), способная предоставлять для образования связи электронную пару (донор электронной пары). Основание по Льюису должно </w:t>
      </w:r>
      <w:r>
        <w:rPr>
          <w:rFonts w:ascii="Times New Roman CYR" w:hAnsi="Times New Roman CYR" w:cs="Times New Roman CYR"/>
          <w:sz w:val="28"/>
          <w:szCs w:val="28"/>
        </w:rPr>
        <w:lastRenderedPageBreak/>
        <w:t>содержать в своем составе атом с неподеленной электронной парой на внешнем слое: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66D24B9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теории Льюиса кислота и основание взаимодействуют друг с другом с образованием ковалентной связи по донорно-акцепторному механизму:</w:t>
      </w:r>
    </w:p>
    <w:p w14:paraId="2CA9B53F"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250" w:type="dxa"/>
        <w:tblLayout w:type="fixed"/>
        <w:tblLook w:val="0000" w:firstRow="0" w:lastRow="0" w:firstColumn="0" w:lastColumn="0" w:noHBand="0" w:noVBand="0"/>
      </w:tblPr>
      <w:tblGrid>
        <w:gridCol w:w="885"/>
        <w:gridCol w:w="329"/>
        <w:gridCol w:w="1098"/>
        <w:gridCol w:w="416"/>
        <w:gridCol w:w="2730"/>
      </w:tblGrid>
      <w:tr w:rsidR="00000000" w14:paraId="5B18B1BC" w14:textId="77777777">
        <w:tblPrEx>
          <w:tblCellMar>
            <w:top w:w="0" w:type="dxa"/>
            <w:bottom w:w="0" w:type="dxa"/>
          </w:tblCellMar>
        </w:tblPrEx>
        <w:tc>
          <w:tcPr>
            <w:tcW w:w="885" w:type="dxa"/>
            <w:tcBorders>
              <w:top w:val="nil"/>
              <w:left w:val="nil"/>
              <w:bottom w:val="nil"/>
              <w:right w:val="nil"/>
            </w:tcBorders>
          </w:tcPr>
          <w:p w14:paraId="059AF4E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А</w:t>
            </w:r>
          </w:p>
        </w:tc>
        <w:tc>
          <w:tcPr>
            <w:tcW w:w="329" w:type="dxa"/>
            <w:tcBorders>
              <w:top w:val="nil"/>
              <w:left w:val="nil"/>
              <w:bottom w:val="nil"/>
              <w:right w:val="nil"/>
            </w:tcBorders>
          </w:tcPr>
          <w:p w14:paraId="24B0F7B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341AEB43" w14:textId="77777777" w:rsidR="00000000" w:rsidRDefault="00000000">
            <w:pPr>
              <w:rPr>
                <w:rFonts w:ascii="Times New Roman CYR" w:hAnsi="Times New Roman CYR" w:cs="Times New Roman CYR"/>
                <w:sz w:val="20"/>
                <w:szCs w:val="20"/>
              </w:rPr>
            </w:pPr>
            <w:r>
              <w:rPr>
                <w:rFonts w:ascii="Times New Roman CYR" w:hAnsi="Times New Roman CYR" w:cs="Times New Roman CYR"/>
                <w:b/>
                <w:bCs/>
                <w:sz w:val="20"/>
                <w:szCs w:val="20"/>
              </w:rPr>
              <w:t>:</w:t>
            </w:r>
            <w:r>
              <w:rPr>
                <w:rFonts w:ascii="Times New Roman CYR" w:hAnsi="Times New Roman CYR" w:cs="Times New Roman CYR"/>
                <w:sz w:val="20"/>
                <w:szCs w:val="20"/>
              </w:rPr>
              <w:t>В</w:t>
            </w:r>
          </w:p>
        </w:tc>
        <w:tc>
          <w:tcPr>
            <w:tcW w:w="416" w:type="dxa"/>
            <w:tcBorders>
              <w:top w:val="nil"/>
              <w:left w:val="nil"/>
              <w:bottom w:val="nil"/>
              <w:right w:val="nil"/>
            </w:tcBorders>
          </w:tcPr>
          <w:p w14:paraId="07C03865"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2730" w:type="dxa"/>
            <w:tcBorders>
              <w:top w:val="nil"/>
              <w:left w:val="nil"/>
              <w:bottom w:val="nil"/>
              <w:right w:val="nil"/>
            </w:tcBorders>
          </w:tcPr>
          <w:p w14:paraId="7440200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 xml:space="preserve">А </w:t>
            </w:r>
            <w:r>
              <w:rPr>
                <w:rFonts w:ascii="Times New Roman CYR" w:hAnsi="Times New Roman CYR" w:cs="Times New Roman CYR"/>
                <w:b/>
                <w:bCs/>
                <w:sz w:val="20"/>
                <w:szCs w:val="20"/>
              </w:rPr>
              <w:t>:</w:t>
            </w:r>
            <w:r>
              <w:rPr>
                <w:rFonts w:ascii="Times New Roman CYR" w:hAnsi="Times New Roman CYR" w:cs="Times New Roman CYR"/>
                <w:sz w:val="20"/>
                <w:szCs w:val="20"/>
              </w:rPr>
              <w:t xml:space="preserve"> В</w:t>
            </w:r>
          </w:p>
        </w:tc>
      </w:tr>
      <w:tr w:rsidR="00000000" w14:paraId="07C6D474" w14:textId="77777777">
        <w:tblPrEx>
          <w:tblCellMar>
            <w:top w:w="0" w:type="dxa"/>
            <w:bottom w:w="0" w:type="dxa"/>
          </w:tblCellMar>
        </w:tblPrEx>
        <w:tc>
          <w:tcPr>
            <w:tcW w:w="885" w:type="dxa"/>
            <w:tcBorders>
              <w:top w:val="nil"/>
              <w:left w:val="nil"/>
              <w:bottom w:val="nil"/>
              <w:right w:val="nil"/>
            </w:tcBorders>
          </w:tcPr>
          <w:p w14:paraId="5D675E6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619C63FC"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47B4B5F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7AB531B2" w14:textId="77777777" w:rsidR="00000000" w:rsidRDefault="00000000">
            <w:pPr>
              <w:rPr>
                <w:rFonts w:ascii="Times New Roman CYR" w:hAnsi="Times New Roman CYR" w:cs="Times New Roman CYR"/>
                <w:sz w:val="20"/>
                <w:szCs w:val="20"/>
              </w:rPr>
            </w:pPr>
          </w:p>
        </w:tc>
        <w:tc>
          <w:tcPr>
            <w:tcW w:w="2730" w:type="dxa"/>
            <w:tcBorders>
              <w:top w:val="nil"/>
              <w:left w:val="nil"/>
              <w:bottom w:val="nil"/>
              <w:right w:val="nil"/>
            </w:tcBorders>
          </w:tcPr>
          <w:p w14:paraId="144074A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кислотно-основной комплекс</w:t>
            </w:r>
          </w:p>
        </w:tc>
      </w:tr>
    </w:tbl>
    <w:p w14:paraId="71D10DB3"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885"/>
        <w:gridCol w:w="329"/>
        <w:gridCol w:w="1098"/>
        <w:gridCol w:w="416"/>
        <w:gridCol w:w="1047"/>
      </w:tblGrid>
      <w:tr w:rsidR="00000000" w14:paraId="7D2EB7AF" w14:textId="77777777">
        <w:tblPrEx>
          <w:tblCellMar>
            <w:top w:w="0" w:type="dxa"/>
            <w:bottom w:w="0" w:type="dxa"/>
          </w:tblCellMar>
        </w:tblPrEx>
        <w:tc>
          <w:tcPr>
            <w:tcW w:w="885" w:type="dxa"/>
            <w:tcBorders>
              <w:top w:val="nil"/>
              <w:left w:val="nil"/>
              <w:bottom w:val="nil"/>
              <w:right w:val="nil"/>
            </w:tcBorders>
          </w:tcPr>
          <w:p w14:paraId="7C0788A1"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BF</w:t>
            </w:r>
            <w:r>
              <w:rPr>
                <w:rFonts w:ascii="Times New Roman CYR" w:hAnsi="Times New Roman CYR" w:cs="Times New Roman CYR"/>
                <w:sz w:val="20"/>
                <w:szCs w:val="20"/>
                <w:vertAlign w:val="subscript"/>
                <w:lang w:val="en-US"/>
              </w:rPr>
              <w:t>3</w:t>
            </w:r>
          </w:p>
        </w:tc>
        <w:tc>
          <w:tcPr>
            <w:tcW w:w="329" w:type="dxa"/>
            <w:tcBorders>
              <w:top w:val="nil"/>
              <w:left w:val="nil"/>
              <w:bottom w:val="nil"/>
              <w:right w:val="nil"/>
            </w:tcBorders>
          </w:tcPr>
          <w:p w14:paraId="48118B6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641D3B6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b/>
                <w:bCs/>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3</w:t>
            </w:r>
          </w:p>
        </w:tc>
        <w:tc>
          <w:tcPr>
            <w:tcW w:w="416" w:type="dxa"/>
            <w:tcBorders>
              <w:top w:val="nil"/>
              <w:left w:val="nil"/>
              <w:bottom w:val="nil"/>
              <w:right w:val="nil"/>
            </w:tcBorders>
          </w:tcPr>
          <w:p w14:paraId="507C50C8"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1047" w:type="dxa"/>
            <w:tcBorders>
              <w:top w:val="nil"/>
              <w:left w:val="nil"/>
              <w:bottom w:val="nil"/>
              <w:right w:val="nil"/>
            </w:tcBorders>
          </w:tcPr>
          <w:p w14:paraId="4C33E03F"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F</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B</w:t>
            </w:r>
            <w:r>
              <w:rPr>
                <w:rFonts w:ascii="Times New Roman CYR" w:hAnsi="Times New Roman CYR" w:cs="Times New Roman CYR"/>
                <w:sz w:val="20"/>
                <w:szCs w:val="20"/>
              </w:rPr>
              <w:t xml:space="preserve"> </w:t>
            </w:r>
            <w:r>
              <w:rPr>
                <w:rFonts w:ascii="Times New Roman CYR" w:hAnsi="Times New Roman CYR" w:cs="Times New Roman CYR"/>
                <w:b/>
                <w:bCs/>
                <w:sz w:val="20"/>
                <w:szCs w:val="20"/>
              </w:rPr>
              <w:t>:</w:t>
            </w:r>
            <w:r>
              <w:rPr>
                <w:rFonts w:ascii="Times New Roman CYR" w:hAnsi="Times New Roman CYR" w:cs="Times New Roman CYR"/>
                <w:sz w:val="20"/>
                <w:szCs w:val="20"/>
              </w:rPr>
              <w:t xml:space="preserve"> </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3</w:t>
            </w:r>
          </w:p>
        </w:tc>
      </w:tr>
      <w:tr w:rsidR="00000000" w14:paraId="6E61867F" w14:textId="77777777">
        <w:tblPrEx>
          <w:tblCellMar>
            <w:top w:w="0" w:type="dxa"/>
            <w:bottom w:w="0" w:type="dxa"/>
          </w:tblCellMar>
        </w:tblPrEx>
        <w:tc>
          <w:tcPr>
            <w:tcW w:w="885" w:type="dxa"/>
            <w:tcBorders>
              <w:top w:val="nil"/>
              <w:left w:val="nil"/>
              <w:bottom w:val="nil"/>
              <w:right w:val="nil"/>
            </w:tcBorders>
          </w:tcPr>
          <w:p w14:paraId="0449BCD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1BDF7A13"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675AF42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27567B47" w14:textId="77777777" w:rsidR="00000000" w:rsidRDefault="00000000">
            <w:pPr>
              <w:rPr>
                <w:rFonts w:ascii="Times New Roman CYR" w:hAnsi="Times New Roman CYR" w:cs="Times New Roman CYR"/>
                <w:sz w:val="20"/>
                <w:szCs w:val="20"/>
              </w:rPr>
            </w:pPr>
          </w:p>
        </w:tc>
        <w:tc>
          <w:tcPr>
            <w:tcW w:w="1047" w:type="dxa"/>
            <w:tcBorders>
              <w:top w:val="nil"/>
              <w:left w:val="nil"/>
              <w:bottom w:val="nil"/>
              <w:right w:val="nil"/>
            </w:tcBorders>
          </w:tcPr>
          <w:p w14:paraId="3BC42238" w14:textId="77777777" w:rsidR="00000000" w:rsidRDefault="00000000">
            <w:pPr>
              <w:rPr>
                <w:rFonts w:ascii="Times New Roman CYR" w:hAnsi="Times New Roman CYR" w:cs="Times New Roman CYR"/>
                <w:sz w:val="20"/>
                <w:szCs w:val="20"/>
              </w:rPr>
            </w:pPr>
          </w:p>
        </w:tc>
      </w:tr>
    </w:tbl>
    <w:p w14:paraId="2E71B345"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885"/>
        <w:gridCol w:w="329"/>
        <w:gridCol w:w="1098"/>
        <w:gridCol w:w="416"/>
        <w:gridCol w:w="644"/>
      </w:tblGrid>
      <w:tr w:rsidR="00000000" w14:paraId="02C1463A" w14:textId="77777777">
        <w:tblPrEx>
          <w:tblCellMar>
            <w:top w:w="0" w:type="dxa"/>
            <w:bottom w:w="0" w:type="dxa"/>
          </w:tblCellMar>
        </w:tblPrEx>
        <w:tc>
          <w:tcPr>
            <w:tcW w:w="885" w:type="dxa"/>
            <w:tcBorders>
              <w:top w:val="nil"/>
              <w:left w:val="nil"/>
              <w:bottom w:val="nil"/>
              <w:right w:val="nil"/>
            </w:tcBorders>
          </w:tcPr>
          <w:p w14:paraId="5AF71EBA"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perscript"/>
                <w:lang w:val="en-US"/>
              </w:rPr>
              <w:t>+</w:t>
            </w:r>
          </w:p>
        </w:tc>
        <w:tc>
          <w:tcPr>
            <w:tcW w:w="329" w:type="dxa"/>
            <w:tcBorders>
              <w:top w:val="nil"/>
              <w:left w:val="nil"/>
              <w:bottom w:val="nil"/>
              <w:right w:val="nil"/>
            </w:tcBorders>
          </w:tcPr>
          <w:p w14:paraId="5562BC6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47E2BEC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w:t>
            </w:r>
            <w:r>
              <w:rPr>
                <w:rFonts w:ascii="Times New Roman CYR" w:hAnsi="Times New Roman CYR" w:cs="Times New Roman CYR"/>
                <w:b/>
                <w:bCs/>
                <w:sz w:val="20"/>
                <w:szCs w:val="20"/>
              </w:rPr>
              <w:t>:</w:t>
            </w:r>
          </w:p>
        </w:tc>
        <w:tc>
          <w:tcPr>
            <w:tcW w:w="416" w:type="dxa"/>
            <w:tcBorders>
              <w:top w:val="nil"/>
              <w:left w:val="nil"/>
              <w:bottom w:val="nil"/>
              <w:right w:val="nil"/>
            </w:tcBorders>
          </w:tcPr>
          <w:p w14:paraId="60BD4F00"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644" w:type="dxa"/>
            <w:tcBorders>
              <w:top w:val="nil"/>
              <w:left w:val="nil"/>
              <w:bottom w:val="nil"/>
              <w:right w:val="nil"/>
            </w:tcBorders>
          </w:tcPr>
          <w:p w14:paraId="598C9F1F"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rPr>
              <w:t>О</w:t>
            </w:r>
            <w:r>
              <w:rPr>
                <w:rFonts w:ascii="Times New Roman CYR" w:hAnsi="Times New Roman CYR" w:cs="Times New Roman CYR"/>
                <w:sz w:val="20"/>
                <w:szCs w:val="20"/>
                <w:vertAlign w:val="superscript"/>
                <w:lang w:val="en-US"/>
              </w:rPr>
              <w:t>+</w:t>
            </w:r>
          </w:p>
        </w:tc>
      </w:tr>
      <w:tr w:rsidR="00000000" w14:paraId="6BE31387" w14:textId="77777777">
        <w:tblPrEx>
          <w:tblCellMar>
            <w:top w:w="0" w:type="dxa"/>
            <w:bottom w:w="0" w:type="dxa"/>
          </w:tblCellMar>
        </w:tblPrEx>
        <w:tc>
          <w:tcPr>
            <w:tcW w:w="885" w:type="dxa"/>
            <w:tcBorders>
              <w:top w:val="nil"/>
              <w:left w:val="nil"/>
              <w:bottom w:val="nil"/>
              <w:right w:val="nil"/>
            </w:tcBorders>
          </w:tcPr>
          <w:p w14:paraId="4BAFCA0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31E56547"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486B284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51F47984" w14:textId="77777777" w:rsidR="00000000" w:rsidRDefault="00000000">
            <w:pPr>
              <w:rPr>
                <w:rFonts w:ascii="Times New Roman CYR" w:hAnsi="Times New Roman CYR" w:cs="Times New Roman CYR"/>
                <w:sz w:val="20"/>
                <w:szCs w:val="20"/>
              </w:rPr>
            </w:pPr>
          </w:p>
        </w:tc>
        <w:tc>
          <w:tcPr>
            <w:tcW w:w="644" w:type="dxa"/>
            <w:tcBorders>
              <w:top w:val="nil"/>
              <w:left w:val="nil"/>
              <w:bottom w:val="nil"/>
              <w:right w:val="nil"/>
            </w:tcBorders>
          </w:tcPr>
          <w:p w14:paraId="2AE69B5D" w14:textId="77777777" w:rsidR="00000000" w:rsidRDefault="00000000">
            <w:pPr>
              <w:rPr>
                <w:rFonts w:ascii="Times New Roman CYR" w:hAnsi="Times New Roman CYR" w:cs="Times New Roman CYR"/>
                <w:sz w:val="20"/>
                <w:szCs w:val="20"/>
              </w:rPr>
            </w:pPr>
          </w:p>
        </w:tc>
      </w:tr>
    </w:tbl>
    <w:p w14:paraId="01710C98" w14:textId="77777777" w:rsidR="00000000" w:rsidRDefault="00000000">
      <w:pPr>
        <w:spacing w:line="360" w:lineRule="auto"/>
        <w:ind w:firstLine="709"/>
        <w:jc w:val="both"/>
        <w:rPr>
          <w:rFonts w:ascii="Times New Roman CYR" w:hAnsi="Times New Roman CYR" w:cs="Times New Roman CYR"/>
          <w:sz w:val="28"/>
          <w:szCs w:val="28"/>
          <w:lang w:val="en-US"/>
        </w:rPr>
      </w:pPr>
    </w:p>
    <w:p w14:paraId="68FCE21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Теория Льюиса не противоречит теории Бренстеда-Лоури. Понятие основания в обеих этих теориях практически совпадает, однако понятие кислоты в концепции Льюиса значительно шире и охватывает кроме иона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многие другие электроноакцепторные частицы, в том числе и катионы металлов </w:t>
      </w:r>
      <w:r>
        <w:rPr>
          <w:rFonts w:ascii="Times New Roman CYR" w:hAnsi="Times New Roman CYR" w:cs="Times New Roman CYR"/>
          <w:sz w:val="28"/>
          <w:szCs w:val="28"/>
          <w:lang w:val="en-US"/>
        </w:rPr>
        <w:t>Me</w:t>
      </w:r>
      <w:r>
        <w:rPr>
          <w:rFonts w:ascii="Times New Roman CYR" w:hAnsi="Times New Roman CYR" w:cs="Times New Roman CYR"/>
          <w:sz w:val="28"/>
          <w:szCs w:val="28"/>
          <w:vertAlign w:val="superscript"/>
          <w:lang w:val="en-US"/>
        </w:rPr>
        <w:t>n</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Соответственно значительно увеличивается и число реакций, которые по своему характеру относятся к кислотно-основному взаимодействию. Так, например, согласно теории Льюиса кислотно-основными являются многочисленные реакции комплексообразования:</w:t>
      </w:r>
    </w:p>
    <w:p w14:paraId="487A28AE"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392" w:type="dxa"/>
        <w:tblLayout w:type="fixed"/>
        <w:tblLook w:val="0000" w:firstRow="0" w:lastRow="0" w:firstColumn="0" w:lastColumn="0" w:noHBand="0" w:noVBand="0"/>
      </w:tblPr>
      <w:tblGrid>
        <w:gridCol w:w="885"/>
        <w:gridCol w:w="329"/>
        <w:gridCol w:w="1098"/>
        <w:gridCol w:w="416"/>
        <w:gridCol w:w="1273"/>
      </w:tblGrid>
      <w:tr w:rsidR="00000000" w14:paraId="2E5B6102" w14:textId="77777777">
        <w:tblPrEx>
          <w:tblCellMar>
            <w:top w:w="0" w:type="dxa"/>
            <w:bottom w:w="0" w:type="dxa"/>
          </w:tblCellMar>
        </w:tblPrEx>
        <w:tc>
          <w:tcPr>
            <w:tcW w:w="885" w:type="dxa"/>
            <w:tcBorders>
              <w:top w:val="nil"/>
              <w:left w:val="nil"/>
              <w:bottom w:val="nil"/>
              <w:right w:val="nil"/>
            </w:tcBorders>
          </w:tcPr>
          <w:p w14:paraId="1177737B"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Cu</w:t>
            </w:r>
            <w:r>
              <w:rPr>
                <w:rFonts w:ascii="Times New Roman CYR" w:hAnsi="Times New Roman CYR" w:cs="Times New Roman CYR"/>
                <w:sz w:val="20"/>
                <w:szCs w:val="20"/>
                <w:vertAlign w:val="superscript"/>
                <w:lang w:val="en-US"/>
              </w:rPr>
              <w:t>2+</w:t>
            </w:r>
          </w:p>
        </w:tc>
        <w:tc>
          <w:tcPr>
            <w:tcW w:w="329" w:type="dxa"/>
            <w:tcBorders>
              <w:top w:val="nil"/>
              <w:left w:val="nil"/>
              <w:bottom w:val="nil"/>
              <w:right w:val="nil"/>
            </w:tcBorders>
          </w:tcPr>
          <w:p w14:paraId="2E95E81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098" w:type="dxa"/>
            <w:tcBorders>
              <w:top w:val="nil"/>
              <w:left w:val="nil"/>
              <w:bottom w:val="nil"/>
              <w:right w:val="nil"/>
            </w:tcBorders>
          </w:tcPr>
          <w:p w14:paraId="47F65D6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4N</w:t>
            </w:r>
            <w:r>
              <w:rPr>
                <w:rFonts w:ascii="Times New Roman CYR" w:hAnsi="Times New Roman CYR" w:cs="Times New Roman CYR"/>
                <w:sz w:val="20"/>
                <w:szCs w:val="20"/>
              </w:rPr>
              <w:t>Н</w:t>
            </w:r>
            <w:r>
              <w:rPr>
                <w:rFonts w:ascii="Times New Roman CYR" w:hAnsi="Times New Roman CYR" w:cs="Times New Roman CYR"/>
                <w:sz w:val="20"/>
                <w:szCs w:val="20"/>
                <w:vertAlign w:val="subscript"/>
                <w:lang w:val="en-US"/>
              </w:rPr>
              <w:t>3</w:t>
            </w:r>
          </w:p>
        </w:tc>
        <w:tc>
          <w:tcPr>
            <w:tcW w:w="416" w:type="dxa"/>
            <w:tcBorders>
              <w:top w:val="nil"/>
              <w:left w:val="nil"/>
              <w:bottom w:val="nil"/>
              <w:right w:val="nil"/>
            </w:tcBorders>
          </w:tcPr>
          <w:p w14:paraId="51691898" w14:textId="77777777" w:rsidR="00000000" w:rsidRDefault="00000000">
            <w:pPr>
              <w:rPr>
                <w:rFonts w:ascii="Times New Roman CYR" w:hAnsi="Times New Roman CYR" w:cs="Times New Roman CYR"/>
                <w:sz w:val="20"/>
                <w:szCs w:val="20"/>
              </w:rPr>
            </w:pPr>
            <w:r>
              <w:rPr>
                <w:rFonts w:ascii="Times New Roman" w:hAnsi="Times New Roman" w:cs="Times New Roman"/>
                <w:sz w:val="20"/>
                <w:szCs w:val="20"/>
              </w:rPr>
              <w:t>→</w:t>
            </w:r>
          </w:p>
        </w:tc>
        <w:tc>
          <w:tcPr>
            <w:tcW w:w="1273" w:type="dxa"/>
            <w:tcBorders>
              <w:top w:val="nil"/>
              <w:left w:val="nil"/>
              <w:bottom w:val="nil"/>
              <w:right w:val="nil"/>
            </w:tcBorders>
          </w:tcPr>
          <w:p w14:paraId="47E16E9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[Cu(N</w:t>
            </w:r>
            <w:r>
              <w:rPr>
                <w:rFonts w:ascii="Times New Roman CYR" w:hAnsi="Times New Roman CYR" w:cs="Times New Roman CYR"/>
                <w:sz w:val="20"/>
                <w:szCs w:val="20"/>
              </w:rPr>
              <w:t>Н</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lang w:val="en-US"/>
              </w:rPr>
              <w:t>]</w:t>
            </w:r>
            <w:r>
              <w:rPr>
                <w:rFonts w:ascii="Times New Roman CYR" w:hAnsi="Times New Roman CYR" w:cs="Times New Roman CYR"/>
                <w:sz w:val="20"/>
                <w:szCs w:val="20"/>
                <w:vertAlign w:val="superscript"/>
                <w:lang w:val="en-US"/>
              </w:rPr>
              <w:t>2+</w:t>
            </w:r>
          </w:p>
        </w:tc>
      </w:tr>
      <w:tr w:rsidR="00000000" w14:paraId="1D6BF601" w14:textId="77777777">
        <w:tblPrEx>
          <w:tblCellMar>
            <w:top w:w="0" w:type="dxa"/>
            <w:bottom w:w="0" w:type="dxa"/>
          </w:tblCellMar>
        </w:tblPrEx>
        <w:tc>
          <w:tcPr>
            <w:tcW w:w="885" w:type="dxa"/>
            <w:tcBorders>
              <w:top w:val="nil"/>
              <w:left w:val="nil"/>
              <w:bottom w:val="nil"/>
              <w:right w:val="nil"/>
            </w:tcBorders>
          </w:tcPr>
          <w:p w14:paraId="02A5434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кислота</w:t>
            </w:r>
          </w:p>
        </w:tc>
        <w:tc>
          <w:tcPr>
            <w:tcW w:w="329" w:type="dxa"/>
            <w:tcBorders>
              <w:top w:val="nil"/>
              <w:left w:val="nil"/>
              <w:bottom w:val="nil"/>
              <w:right w:val="nil"/>
            </w:tcBorders>
          </w:tcPr>
          <w:p w14:paraId="19129B17" w14:textId="77777777" w:rsidR="00000000" w:rsidRDefault="00000000">
            <w:pPr>
              <w:rPr>
                <w:rFonts w:ascii="Times New Roman CYR" w:hAnsi="Times New Roman CYR" w:cs="Times New Roman CYR"/>
                <w:sz w:val="20"/>
                <w:szCs w:val="20"/>
              </w:rPr>
            </w:pPr>
          </w:p>
        </w:tc>
        <w:tc>
          <w:tcPr>
            <w:tcW w:w="1098" w:type="dxa"/>
            <w:tcBorders>
              <w:top w:val="nil"/>
              <w:left w:val="nil"/>
              <w:bottom w:val="nil"/>
              <w:right w:val="nil"/>
            </w:tcBorders>
          </w:tcPr>
          <w:p w14:paraId="79D47FD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основание</w:t>
            </w:r>
          </w:p>
        </w:tc>
        <w:tc>
          <w:tcPr>
            <w:tcW w:w="416" w:type="dxa"/>
            <w:tcBorders>
              <w:top w:val="nil"/>
              <w:left w:val="nil"/>
              <w:bottom w:val="nil"/>
              <w:right w:val="nil"/>
            </w:tcBorders>
          </w:tcPr>
          <w:p w14:paraId="6839850A" w14:textId="77777777" w:rsidR="00000000" w:rsidRDefault="00000000">
            <w:pPr>
              <w:rPr>
                <w:rFonts w:ascii="Times New Roman CYR" w:hAnsi="Times New Roman CYR" w:cs="Times New Roman CYR"/>
                <w:sz w:val="20"/>
                <w:szCs w:val="20"/>
              </w:rPr>
            </w:pPr>
          </w:p>
        </w:tc>
        <w:tc>
          <w:tcPr>
            <w:tcW w:w="1273" w:type="dxa"/>
            <w:tcBorders>
              <w:top w:val="nil"/>
              <w:left w:val="nil"/>
              <w:bottom w:val="nil"/>
              <w:right w:val="nil"/>
            </w:tcBorders>
          </w:tcPr>
          <w:p w14:paraId="01B1CF57" w14:textId="77777777" w:rsidR="00000000" w:rsidRDefault="00000000">
            <w:pPr>
              <w:rPr>
                <w:rFonts w:ascii="Times New Roman CYR" w:hAnsi="Times New Roman CYR" w:cs="Times New Roman CYR"/>
                <w:sz w:val="20"/>
                <w:szCs w:val="20"/>
              </w:rPr>
            </w:pPr>
          </w:p>
        </w:tc>
      </w:tr>
    </w:tbl>
    <w:p w14:paraId="51C93D16" w14:textId="77777777" w:rsidR="00000000" w:rsidRDefault="00000000">
      <w:pPr>
        <w:spacing w:line="360" w:lineRule="auto"/>
        <w:ind w:firstLine="709"/>
        <w:jc w:val="both"/>
        <w:rPr>
          <w:rFonts w:ascii="Times New Roman CYR" w:hAnsi="Times New Roman CYR" w:cs="Times New Roman CYR"/>
          <w:sz w:val="28"/>
          <w:szCs w:val="28"/>
        </w:rPr>
      </w:pPr>
    </w:p>
    <w:p w14:paraId="303952B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Теория Льюиса широко используется для объяснения реакционной способности органических соединений и очень удобна при описании механизма химических реакций, протекающих с их участием.</w:t>
      </w:r>
    </w:p>
    <w:p w14:paraId="22278C54" w14:textId="77777777" w:rsidR="00000000" w:rsidRDefault="00000000">
      <w:pPr>
        <w:spacing w:line="360" w:lineRule="auto"/>
        <w:ind w:firstLine="709"/>
        <w:jc w:val="both"/>
        <w:rPr>
          <w:rFonts w:cs="Times New Roman Ïîëóæèðíûé"/>
          <w:b/>
          <w:bCs/>
          <w:caps/>
          <w:sz w:val="28"/>
          <w:szCs w:val="28"/>
        </w:rPr>
      </w:pPr>
      <w:r>
        <w:rPr>
          <w:rFonts w:ascii="Times New Roman CYR" w:hAnsi="Times New Roman CYR" w:cs="Times New Roman CYR"/>
          <w:sz w:val="28"/>
          <w:szCs w:val="28"/>
        </w:rPr>
        <w:br w:type="page"/>
      </w:r>
      <w:r>
        <w:rPr>
          <w:rFonts w:cs="Times New Roman Ïîëóæèðíûé"/>
          <w:b/>
          <w:bCs/>
          <w:caps/>
          <w:sz w:val="28"/>
          <w:szCs w:val="28"/>
        </w:rPr>
        <w:lastRenderedPageBreak/>
        <w:t>Áóôåðíûå ðàñòâîðû</w:t>
      </w:r>
    </w:p>
    <w:p w14:paraId="623F356D" w14:textId="77777777" w:rsidR="00000000" w:rsidRDefault="00000000">
      <w:pPr>
        <w:spacing w:line="360" w:lineRule="auto"/>
        <w:ind w:firstLine="709"/>
        <w:jc w:val="both"/>
        <w:rPr>
          <w:rFonts w:ascii="Times New Roman CYR" w:hAnsi="Times New Roman CYR" w:cs="Times New Roman CYR"/>
          <w:b/>
          <w:bCs/>
          <w:sz w:val="28"/>
          <w:szCs w:val="28"/>
        </w:rPr>
      </w:pPr>
    </w:p>
    <w:p w14:paraId="2DF1784E" w14:textId="77777777" w:rsidR="00000000" w:rsidRDefault="00000000">
      <w:pPr>
        <w:pStyle w:val="3"/>
        <w:keepNext/>
        <w:suppressAutoHyphens/>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Определение буферных систем и их классификация</w:t>
      </w:r>
    </w:p>
    <w:p w14:paraId="23A11CC8" w14:textId="77777777" w:rsidR="00000000" w:rsidRDefault="00000000">
      <w:pPr>
        <w:spacing w:line="360" w:lineRule="auto"/>
        <w:ind w:firstLine="709"/>
        <w:jc w:val="both"/>
        <w:rPr>
          <w:rFonts w:ascii="Times New Roman CYR" w:hAnsi="Times New Roman CYR" w:cs="Times New Roman CYR"/>
          <w:sz w:val="28"/>
          <w:szCs w:val="28"/>
        </w:rPr>
      </w:pPr>
    </w:p>
    <w:p w14:paraId="76D9F35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Многие реакции в растворе протекают в нужном направлении только при определенной концентрации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Изменение её в ту или иную сторону от соответствующего оптимального значения приводит к появлению новых, часто нежелательных продуктов. В связи с этим, поддержание постоянного значения рН на протяжении всего времени осуществления реакции часто является важным условием ее успешного завершения.</w:t>
      </w:r>
    </w:p>
    <w:p w14:paraId="2258D31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Особенно актуально это для биохимических процессов, протекающих в живых организмах. Большинство из них катализируется различными ферментами или гормонами, проявляющими свою биологическую активность только в строго определенном и достаточно узком интервале значений рН.</w:t>
      </w:r>
    </w:p>
    <w:p w14:paraId="44A67FF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Растворы, способные сохранять постоянной концентрацию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при добавлении к ним небольших количеств сильной кислоты или щелочи, а также при разбавлении, называются буферными растворами или буферными системами.</w:t>
      </w:r>
    </w:p>
    <w:p w14:paraId="42879DBD"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Свойство данных растворов сохранять неизменным присущее им значение рН при вышеперечисленных обстоятельствах, называется иначе </w:t>
      </w:r>
      <w:r>
        <w:rPr>
          <w:rFonts w:ascii="Times New Roman CYR" w:hAnsi="Times New Roman CYR" w:cs="Times New Roman CYR"/>
          <w:b/>
          <w:bCs/>
          <w:sz w:val="28"/>
          <w:szCs w:val="28"/>
        </w:rPr>
        <w:t>буферным действием</w:t>
      </w:r>
      <w:r>
        <w:rPr>
          <w:rFonts w:ascii="Times New Roman CYR" w:hAnsi="Times New Roman CYR" w:cs="Times New Roman CYR"/>
          <w:sz w:val="28"/>
          <w:szCs w:val="28"/>
        </w:rPr>
        <w:t>.</w:t>
      </w:r>
    </w:p>
    <w:p w14:paraId="67BB3D4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Буферные растворы в зависимости от своего состава делятся на 2 основных типа: кислотные и основные.</w:t>
      </w:r>
    </w:p>
    <w:p w14:paraId="152B33B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Кислотные буферные системы обычно образованы слабой неорганической или органической кислотой и солью этой же кислоты с сильным основанием. Например:</w:t>
      </w:r>
    </w:p>
    <w:p w14:paraId="356C130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 точки зрения теории Бренстеда-Лоури кислотной буферной системой является равновесная смесь слабой кислоты и сопряженного ей основания. Причем роль сопряженного основания играют образующиеся при диссоциации солей анионы слабых кислот.</w:t>
      </w:r>
    </w:p>
    <w:p w14:paraId="0E21DC31"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275" w:type="dxa"/>
        <w:tblLayout w:type="fixed"/>
        <w:tblLook w:val="0000" w:firstRow="0" w:lastRow="0" w:firstColumn="0" w:lastColumn="0" w:noHBand="0" w:noVBand="0"/>
      </w:tblPr>
      <w:tblGrid>
        <w:gridCol w:w="383"/>
        <w:gridCol w:w="1495"/>
        <w:gridCol w:w="329"/>
        <w:gridCol w:w="1361"/>
        <w:gridCol w:w="316"/>
        <w:gridCol w:w="1683"/>
      </w:tblGrid>
      <w:tr w:rsidR="00000000" w14:paraId="4D10E4FA" w14:textId="77777777">
        <w:tblPrEx>
          <w:tblCellMar>
            <w:top w:w="0" w:type="dxa"/>
            <w:bottom w:w="0" w:type="dxa"/>
          </w:tblCellMar>
        </w:tblPrEx>
        <w:tc>
          <w:tcPr>
            <w:tcW w:w="383" w:type="dxa"/>
            <w:tcBorders>
              <w:top w:val="nil"/>
              <w:left w:val="nil"/>
              <w:bottom w:val="nil"/>
              <w:right w:val="nil"/>
            </w:tcBorders>
          </w:tcPr>
          <w:p w14:paraId="4408FA9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w:t>
            </w:r>
          </w:p>
        </w:tc>
        <w:tc>
          <w:tcPr>
            <w:tcW w:w="1495" w:type="dxa"/>
            <w:tcBorders>
              <w:top w:val="nil"/>
              <w:left w:val="nil"/>
              <w:bottom w:val="nil"/>
              <w:right w:val="nil"/>
            </w:tcBorders>
          </w:tcPr>
          <w:p w14:paraId="2781AAC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СООН</w:t>
            </w:r>
          </w:p>
        </w:tc>
        <w:tc>
          <w:tcPr>
            <w:tcW w:w="329" w:type="dxa"/>
            <w:tcBorders>
              <w:top w:val="nil"/>
              <w:left w:val="nil"/>
              <w:bottom w:val="nil"/>
              <w:right w:val="nil"/>
            </w:tcBorders>
          </w:tcPr>
          <w:p w14:paraId="348151C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361" w:type="dxa"/>
            <w:tcBorders>
              <w:top w:val="nil"/>
              <w:left w:val="nil"/>
              <w:bottom w:val="nil"/>
              <w:right w:val="nil"/>
            </w:tcBorders>
          </w:tcPr>
          <w:p w14:paraId="602C50E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w:t>
            </w:r>
            <w:r>
              <w:rPr>
                <w:rFonts w:ascii="Times New Roman CYR" w:hAnsi="Times New Roman CYR" w:cs="Times New Roman CYR"/>
                <w:sz w:val="20"/>
                <w:szCs w:val="20"/>
                <w:lang w:val="en-US"/>
              </w:rPr>
              <w:t>Na</w:t>
            </w:r>
          </w:p>
        </w:tc>
        <w:tc>
          <w:tcPr>
            <w:tcW w:w="316" w:type="dxa"/>
            <w:tcBorders>
              <w:top w:val="nil"/>
              <w:left w:val="nil"/>
              <w:bottom w:val="nil"/>
              <w:right w:val="nil"/>
            </w:tcBorders>
          </w:tcPr>
          <w:p w14:paraId="1F28C4E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683" w:type="dxa"/>
            <w:tcBorders>
              <w:top w:val="nil"/>
              <w:left w:val="nil"/>
              <w:bottom w:val="nil"/>
              <w:right w:val="nil"/>
            </w:tcBorders>
          </w:tcPr>
          <w:p w14:paraId="7A16859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ацетатный буфер</w:t>
            </w:r>
          </w:p>
        </w:tc>
      </w:tr>
      <w:tr w:rsidR="00000000" w14:paraId="160A527F" w14:textId="77777777">
        <w:tblPrEx>
          <w:tblCellMar>
            <w:top w:w="0" w:type="dxa"/>
            <w:bottom w:w="0" w:type="dxa"/>
          </w:tblCellMar>
        </w:tblPrEx>
        <w:tc>
          <w:tcPr>
            <w:tcW w:w="383" w:type="dxa"/>
            <w:tcBorders>
              <w:top w:val="nil"/>
              <w:left w:val="nil"/>
              <w:bottom w:val="nil"/>
              <w:right w:val="nil"/>
            </w:tcBorders>
          </w:tcPr>
          <w:p w14:paraId="1C2D17ED" w14:textId="77777777" w:rsidR="00000000" w:rsidRDefault="00000000">
            <w:pPr>
              <w:rPr>
                <w:rFonts w:ascii="Times New Roman CYR" w:hAnsi="Times New Roman CYR" w:cs="Times New Roman CYR"/>
                <w:sz w:val="20"/>
                <w:szCs w:val="20"/>
              </w:rPr>
            </w:pPr>
          </w:p>
        </w:tc>
        <w:tc>
          <w:tcPr>
            <w:tcW w:w="1495" w:type="dxa"/>
            <w:tcBorders>
              <w:top w:val="nil"/>
              <w:left w:val="nil"/>
              <w:bottom w:val="nil"/>
              <w:right w:val="nil"/>
            </w:tcBorders>
          </w:tcPr>
          <w:p w14:paraId="08FB8F0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329" w:type="dxa"/>
            <w:tcBorders>
              <w:top w:val="nil"/>
              <w:left w:val="nil"/>
              <w:bottom w:val="nil"/>
              <w:right w:val="nil"/>
            </w:tcBorders>
          </w:tcPr>
          <w:p w14:paraId="35ABC927" w14:textId="77777777" w:rsidR="00000000" w:rsidRDefault="00000000">
            <w:pPr>
              <w:rPr>
                <w:rFonts w:ascii="Times New Roman CYR" w:hAnsi="Times New Roman CYR" w:cs="Times New Roman CYR"/>
                <w:sz w:val="20"/>
                <w:szCs w:val="20"/>
              </w:rPr>
            </w:pPr>
          </w:p>
        </w:tc>
        <w:tc>
          <w:tcPr>
            <w:tcW w:w="1361" w:type="dxa"/>
            <w:tcBorders>
              <w:top w:val="nil"/>
              <w:left w:val="nil"/>
              <w:bottom w:val="nil"/>
              <w:right w:val="nil"/>
            </w:tcBorders>
          </w:tcPr>
          <w:p w14:paraId="1A50B86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 кислоты</w:t>
            </w:r>
          </w:p>
        </w:tc>
        <w:tc>
          <w:tcPr>
            <w:tcW w:w="316" w:type="dxa"/>
            <w:tcBorders>
              <w:top w:val="nil"/>
              <w:left w:val="nil"/>
              <w:bottom w:val="nil"/>
              <w:right w:val="nil"/>
            </w:tcBorders>
          </w:tcPr>
          <w:p w14:paraId="25C036F1" w14:textId="77777777" w:rsidR="00000000" w:rsidRDefault="00000000">
            <w:pPr>
              <w:rPr>
                <w:rFonts w:ascii="Times New Roman CYR" w:hAnsi="Times New Roman CYR" w:cs="Times New Roman CYR"/>
                <w:sz w:val="20"/>
                <w:szCs w:val="20"/>
              </w:rPr>
            </w:pPr>
          </w:p>
        </w:tc>
        <w:tc>
          <w:tcPr>
            <w:tcW w:w="1683" w:type="dxa"/>
            <w:tcBorders>
              <w:top w:val="nil"/>
              <w:left w:val="nil"/>
              <w:bottom w:val="nil"/>
              <w:right w:val="nil"/>
            </w:tcBorders>
          </w:tcPr>
          <w:p w14:paraId="5A08935E" w14:textId="77777777" w:rsidR="00000000" w:rsidRDefault="00000000">
            <w:pPr>
              <w:rPr>
                <w:rFonts w:ascii="Times New Roman CYR" w:hAnsi="Times New Roman CYR" w:cs="Times New Roman CYR"/>
                <w:sz w:val="20"/>
                <w:szCs w:val="20"/>
              </w:rPr>
            </w:pPr>
          </w:p>
        </w:tc>
      </w:tr>
    </w:tbl>
    <w:p w14:paraId="250B8158"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483"/>
        <w:gridCol w:w="2069"/>
        <w:gridCol w:w="397"/>
        <w:gridCol w:w="1587"/>
        <w:gridCol w:w="395"/>
        <w:gridCol w:w="2440"/>
      </w:tblGrid>
      <w:tr w:rsidR="00000000" w14:paraId="2F2015AB" w14:textId="77777777">
        <w:tblPrEx>
          <w:tblCellMar>
            <w:top w:w="0" w:type="dxa"/>
            <w:bottom w:w="0" w:type="dxa"/>
          </w:tblCellMar>
        </w:tblPrEx>
        <w:tc>
          <w:tcPr>
            <w:tcW w:w="483" w:type="dxa"/>
            <w:tcBorders>
              <w:top w:val="nil"/>
              <w:left w:val="nil"/>
              <w:bottom w:val="nil"/>
              <w:right w:val="nil"/>
            </w:tcBorders>
          </w:tcPr>
          <w:p w14:paraId="456DD11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2)</w:t>
            </w:r>
          </w:p>
        </w:tc>
        <w:tc>
          <w:tcPr>
            <w:tcW w:w="2069" w:type="dxa"/>
            <w:tcBorders>
              <w:top w:val="nil"/>
              <w:left w:val="nil"/>
              <w:bottom w:val="nil"/>
              <w:right w:val="nil"/>
            </w:tcBorders>
          </w:tcPr>
          <w:p w14:paraId="20FACA6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СО</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 + СО</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w:t>
            </w:r>
          </w:p>
        </w:tc>
        <w:tc>
          <w:tcPr>
            <w:tcW w:w="397" w:type="dxa"/>
            <w:tcBorders>
              <w:top w:val="nil"/>
              <w:left w:val="nil"/>
              <w:bottom w:val="nil"/>
              <w:right w:val="nil"/>
            </w:tcBorders>
          </w:tcPr>
          <w:p w14:paraId="5032A41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587" w:type="dxa"/>
            <w:tcBorders>
              <w:top w:val="nil"/>
              <w:left w:val="nil"/>
              <w:bottom w:val="nil"/>
              <w:right w:val="nil"/>
            </w:tcBorders>
          </w:tcPr>
          <w:p w14:paraId="41CE9AD7"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Na</w:t>
            </w:r>
            <w:r>
              <w:rPr>
                <w:rFonts w:ascii="Times New Roman CYR" w:hAnsi="Times New Roman CYR" w:cs="Times New Roman CYR"/>
                <w:sz w:val="20"/>
                <w:szCs w:val="20"/>
              </w:rPr>
              <w:t>НСО</w:t>
            </w:r>
            <w:r>
              <w:rPr>
                <w:rFonts w:ascii="Times New Roman CYR" w:hAnsi="Times New Roman CYR" w:cs="Times New Roman CYR"/>
                <w:sz w:val="20"/>
                <w:szCs w:val="20"/>
                <w:vertAlign w:val="subscript"/>
              </w:rPr>
              <w:t>3</w:t>
            </w:r>
          </w:p>
        </w:tc>
        <w:tc>
          <w:tcPr>
            <w:tcW w:w="395" w:type="dxa"/>
            <w:tcBorders>
              <w:top w:val="nil"/>
              <w:left w:val="nil"/>
              <w:bottom w:val="nil"/>
              <w:right w:val="nil"/>
            </w:tcBorders>
          </w:tcPr>
          <w:p w14:paraId="2E170DB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440" w:type="dxa"/>
            <w:tcBorders>
              <w:top w:val="nil"/>
              <w:left w:val="nil"/>
              <w:bottom w:val="nil"/>
              <w:right w:val="nil"/>
            </w:tcBorders>
          </w:tcPr>
          <w:p w14:paraId="4574DBC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гидрокарбонатный или бикарбонатный буфер</w:t>
            </w:r>
          </w:p>
        </w:tc>
      </w:tr>
      <w:tr w:rsidR="00000000" w14:paraId="18D79F04" w14:textId="77777777">
        <w:tblPrEx>
          <w:tblCellMar>
            <w:top w:w="0" w:type="dxa"/>
            <w:bottom w:w="0" w:type="dxa"/>
          </w:tblCellMar>
        </w:tblPrEx>
        <w:tc>
          <w:tcPr>
            <w:tcW w:w="483" w:type="dxa"/>
            <w:tcBorders>
              <w:top w:val="nil"/>
              <w:left w:val="nil"/>
              <w:bottom w:val="nil"/>
              <w:right w:val="nil"/>
            </w:tcBorders>
          </w:tcPr>
          <w:p w14:paraId="7CEC19AF" w14:textId="77777777" w:rsidR="00000000" w:rsidRDefault="00000000">
            <w:pPr>
              <w:rPr>
                <w:rFonts w:ascii="Times New Roman CYR" w:hAnsi="Times New Roman CYR" w:cs="Times New Roman CYR"/>
                <w:sz w:val="20"/>
                <w:szCs w:val="20"/>
              </w:rPr>
            </w:pPr>
          </w:p>
        </w:tc>
        <w:tc>
          <w:tcPr>
            <w:tcW w:w="2069" w:type="dxa"/>
            <w:tcBorders>
              <w:top w:val="nil"/>
              <w:left w:val="nil"/>
              <w:bottom w:val="nil"/>
              <w:right w:val="nil"/>
            </w:tcBorders>
          </w:tcPr>
          <w:p w14:paraId="08A2433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397" w:type="dxa"/>
            <w:tcBorders>
              <w:top w:val="nil"/>
              <w:left w:val="nil"/>
              <w:bottom w:val="nil"/>
              <w:right w:val="nil"/>
            </w:tcBorders>
          </w:tcPr>
          <w:p w14:paraId="53FA4DF4" w14:textId="77777777" w:rsidR="00000000" w:rsidRDefault="00000000">
            <w:pPr>
              <w:rPr>
                <w:rFonts w:ascii="Times New Roman CYR" w:hAnsi="Times New Roman CYR" w:cs="Times New Roman CYR"/>
                <w:sz w:val="20"/>
                <w:szCs w:val="20"/>
              </w:rPr>
            </w:pPr>
          </w:p>
        </w:tc>
        <w:tc>
          <w:tcPr>
            <w:tcW w:w="1587" w:type="dxa"/>
            <w:tcBorders>
              <w:top w:val="nil"/>
              <w:left w:val="nil"/>
              <w:bottom w:val="nil"/>
              <w:right w:val="nil"/>
            </w:tcBorders>
          </w:tcPr>
          <w:p w14:paraId="448D7ED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 кислоты</w:t>
            </w:r>
          </w:p>
        </w:tc>
        <w:tc>
          <w:tcPr>
            <w:tcW w:w="395" w:type="dxa"/>
            <w:tcBorders>
              <w:top w:val="nil"/>
              <w:left w:val="nil"/>
              <w:bottom w:val="nil"/>
              <w:right w:val="nil"/>
            </w:tcBorders>
          </w:tcPr>
          <w:p w14:paraId="03476828" w14:textId="77777777" w:rsidR="00000000" w:rsidRDefault="00000000">
            <w:pPr>
              <w:rPr>
                <w:rFonts w:ascii="Times New Roman CYR" w:hAnsi="Times New Roman CYR" w:cs="Times New Roman CYR"/>
                <w:sz w:val="20"/>
                <w:szCs w:val="20"/>
              </w:rPr>
            </w:pPr>
          </w:p>
        </w:tc>
        <w:tc>
          <w:tcPr>
            <w:tcW w:w="2440" w:type="dxa"/>
            <w:tcBorders>
              <w:top w:val="nil"/>
              <w:left w:val="nil"/>
              <w:bottom w:val="nil"/>
              <w:right w:val="nil"/>
            </w:tcBorders>
          </w:tcPr>
          <w:p w14:paraId="6573718A" w14:textId="77777777" w:rsidR="00000000" w:rsidRDefault="00000000">
            <w:pPr>
              <w:rPr>
                <w:rFonts w:ascii="Times New Roman CYR" w:hAnsi="Times New Roman CYR" w:cs="Times New Roman CYR"/>
                <w:sz w:val="20"/>
                <w:szCs w:val="20"/>
              </w:rPr>
            </w:pPr>
          </w:p>
        </w:tc>
      </w:tr>
    </w:tbl>
    <w:p w14:paraId="22FC2BCE" w14:textId="77777777" w:rsidR="00000000" w:rsidRDefault="00000000">
      <w:pPr>
        <w:spacing w:line="360" w:lineRule="auto"/>
        <w:ind w:firstLine="709"/>
        <w:jc w:val="both"/>
        <w:rPr>
          <w:rFonts w:ascii="Times New Roman CYR" w:hAnsi="Times New Roman CYR" w:cs="Times New Roman CYR"/>
          <w:sz w:val="28"/>
          <w:szCs w:val="28"/>
        </w:rPr>
      </w:pPr>
    </w:p>
    <w:p w14:paraId="3F293F0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связи с этим состав буферных растворов можно записать иначе:</w:t>
      </w:r>
    </w:p>
    <w:p w14:paraId="2C63A412"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383"/>
        <w:gridCol w:w="1495"/>
        <w:gridCol w:w="272"/>
        <w:gridCol w:w="2266"/>
        <w:gridCol w:w="316"/>
        <w:gridCol w:w="1683"/>
      </w:tblGrid>
      <w:tr w:rsidR="00000000" w14:paraId="0FDBD604" w14:textId="77777777">
        <w:tblPrEx>
          <w:tblCellMar>
            <w:top w:w="0" w:type="dxa"/>
            <w:bottom w:w="0" w:type="dxa"/>
          </w:tblCellMar>
        </w:tblPrEx>
        <w:tc>
          <w:tcPr>
            <w:tcW w:w="383" w:type="dxa"/>
            <w:tcBorders>
              <w:top w:val="nil"/>
              <w:left w:val="nil"/>
              <w:bottom w:val="nil"/>
              <w:right w:val="nil"/>
            </w:tcBorders>
          </w:tcPr>
          <w:p w14:paraId="059A06A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w:t>
            </w:r>
          </w:p>
        </w:tc>
        <w:tc>
          <w:tcPr>
            <w:tcW w:w="1495" w:type="dxa"/>
            <w:tcBorders>
              <w:top w:val="nil"/>
              <w:left w:val="nil"/>
              <w:bottom w:val="nil"/>
              <w:right w:val="nil"/>
            </w:tcBorders>
          </w:tcPr>
          <w:p w14:paraId="00FF074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СООН</w:t>
            </w:r>
          </w:p>
        </w:tc>
        <w:tc>
          <w:tcPr>
            <w:tcW w:w="272" w:type="dxa"/>
            <w:tcBorders>
              <w:top w:val="nil"/>
              <w:left w:val="nil"/>
              <w:bottom w:val="nil"/>
              <w:right w:val="nil"/>
            </w:tcBorders>
          </w:tcPr>
          <w:p w14:paraId="52C6B58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66" w:type="dxa"/>
            <w:tcBorders>
              <w:top w:val="nil"/>
              <w:left w:val="nil"/>
              <w:bottom w:val="nil"/>
              <w:right w:val="nil"/>
            </w:tcBorders>
          </w:tcPr>
          <w:p w14:paraId="2C2F2FF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w:t>
            </w:r>
            <w:r>
              <w:rPr>
                <w:rFonts w:ascii="Times New Roman CYR" w:hAnsi="Times New Roman CYR" w:cs="Times New Roman CYR"/>
                <w:sz w:val="20"/>
                <w:szCs w:val="20"/>
                <w:vertAlign w:val="superscript"/>
              </w:rPr>
              <w:t>-</w:t>
            </w:r>
          </w:p>
        </w:tc>
        <w:tc>
          <w:tcPr>
            <w:tcW w:w="316" w:type="dxa"/>
            <w:tcBorders>
              <w:top w:val="nil"/>
              <w:left w:val="nil"/>
              <w:bottom w:val="nil"/>
              <w:right w:val="nil"/>
            </w:tcBorders>
          </w:tcPr>
          <w:p w14:paraId="294F40CA"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683" w:type="dxa"/>
            <w:tcBorders>
              <w:top w:val="nil"/>
              <w:left w:val="nil"/>
              <w:bottom w:val="nil"/>
              <w:right w:val="nil"/>
            </w:tcBorders>
          </w:tcPr>
          <w:p w14:paraId="6075521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ацетатный буфер</w:t>
            </w:r>
          </w:p>
        </w:tc>
      </w:tr>
      <w:tr w:rsidR="00000000" w14:paraId="01248006" w14:textId="77777777">
        <w:tblPrEx>
          <w:tblCellMar>
            <w:top w:w="0" w:type="dxa"/>
            <w:bottom w:w="0" w:type="dxa"/>
          </w:tblCellMar>
        </w:tblPrEx>
        <w:tc>
          <w:tcPr>
            <w:tcW w:w="383" w:type="dxa"/>
            <w:tcBorders>
              <w:top w:val="nil"/>
              <w:left w:val="nil"/>
              <w:bottom w:val="nil"/>
              <w:right w:val="nil"/>
            </w:tcBorders>
          </w:tcPr>
          <w:p w14:paraId="7FAE02C2" w14:textId="77777777" w:rsidR="00000000" w:rsidRDefault="00000000">
            <w:pPr>
              <w:rPr>
                <w:rFonts w:ascii="Times New Roman CYR" w:hAnsi="Times New Roman CYR" w:cs="Times New Roman CYR"/>
                <w:sz w:val="20"/>
                <w:szCs w:val="20"/>
              </w:rPr>
            </w:pPr>
          </w:p>
        </w:tc>
        <w:tc>
          <w:tcPr>
            <w:tcW w:w="1495" w:type="dxa"/>
            <w:tcBorders>
              <w:top w:val="nil"/>
              <w:left w:val="nil"/>
              <w:bottom w:val="nil"/>
              <w:right w:val="nil"/>
            </w:tcBorders>
          </w:tcPr>
          <w:p w14:paraId="51ACCC3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72" w:type="dxa"/>
            <w:tcBorders>
              <w:top w:val="nil"/>
              <w:left w:val="nil"/>
              <w:bottom w:val="nil"/>
              <w:right w:val="nil"/>
            </w:tcBorders>
          </w:tcPr>
          <w:p w14:paraId="6D23C1BB"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0FCC1C0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316" w:type="dxa"/>
            <w:tcBorders>
              <w:top w:val="nil"/>
              <w:left w:val="nil"/>
              <w:bottom w:val="nil"/>
              <w:right w:val="nil"/>
            </w:tcBorders>
          </w:tcPr>
          <w:p w14:paraId="245BB3AD" w14:textId="77777777" w:rsidR="00000000" w:rsidRDefault="00000000">
            <w:pPr>
              <w:rPr>
                <w:rFonts w:ascii="Times New Roman CYR" w:hAnsi="Times New Roman CYR" w:cs="Times New Roman CYR"/>
                <w:sz w:val="20"/>
                <w:szCs w:val="20"/>
              </w:rPr>
            </w:pPr>
          </w:p>
        </w:tc>
        <w:tc>
          <w:tcPr>
            <w:tcW w:w="1683" w:type="dxa"/>
            <w:tcBorders>
              <w:top w:val="nil"/>
              <w:left w:val="nil"/>
              <w:bottom w:val="nil"/>
              <w:right w:val="nil"/>
            </w:tcBorders>
          </w:tcPr>
          <w:p w14:paraId="6D08AEBD" w14:textId="77777777" w:rsidR="00000000" w:rsidRDefault="00000000">
            <w:pPr>
              <w:rPr>
                <w:rFonts w:ascii="Times New Roman CYR" w:hAnsi="Times New Roman CYR" w:cs="Times New Roman CYR"/>
                <w:sz w:val="20"/>
                <w:szCs w:val="20"/>
              </w:rPr>
            </w:pPr>
          </w:p>
        </w:tc>
      </w:tr>
    </w:tbl>
    <w:p w14:paraId="7050274A"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284" w:type="dxa"/>
        <w:tblLayout w:type="fixed"/>
        <w:tblLook w:val="0000" w:firstRow="0" w:lastRow="0" w:firstColumn="0" w:lastColumn="0" w:noHBand="0" w:noVBand="0"/>
      </w:tblPr>
      <w:tblGrid>
        <w:gridCol w:w="483"/>
        <w:gridCol w:w="1927"/>
        <w:gridCol w:w="397"/>
        <w:gridCol w:w="1856"/>
        <w:gridCol w:w="395"/>
        <w:gridCol w:w="3383"/>
      </w:tblGrid>
      <w:tr w:rsidR="00000000" w14:paraId="5D5CB9AC" w14:textId="77777777">
        <w:tblPrEx>
          <w:tblCellMar>
            <w:top w:w="0" w:type="dxa"/>
            <w:bottom w:w="0" w:type="dxa"/>
          </w:tblCellMar>
        </w:tblPrEx>
        <w:tc>
          <w:tcPr>
            <w:tcW w:w="483" w:type="dxa"/>
            <w:tcBorders>
              <w:top w:val="nil"/>
              <w:left w:val="nil"/>
              <w:bottom w:val="nil"/>
              <w:right w:val="nil"/>
            </w:tcBorders>
          </w:tcPr>
          <w:p w14:paraId="4E003C2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2)</w:t>
            </w:r>
          </w:p>
        </w:tc>
        <w:tc>
          <w:tcPr>
            <w:tcW w:w="1927" w:type="dxa"/>
            <w:tcBorders>
              <w:top w:val="nil"/>
              <w:left w:val="nil"/>
              <w:bottom w:val="nil"/>
              <w:right w:val="nil"/>
            </w:tcBorders>
          </w:tcPr>
          <w:p w14:paraId="7A110D6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СО</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(Н</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О + СО</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w:t>
            </w:r>
          </w:p>
        </w:tc>
        <w:tc>
          <w:tcPr>
            <w:tcW w:w="397" w:type="dxa"/>
            <w:tcBorders>
              <w:top w:val="nil"/>
              <w:left w:val="nil"/>
              <w:bottom w:val="nil"/>
              <w:right w:val="nil"/>
            </w:tcBorders>
          </w:tcPr>
          <w:p w14:paraId="7B3CACD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856" w:type="dxa"/>
            <w:tcBorders>
              <w:top w:val="nil"/>
              <w:left w:val="nil"/>
              <w:bottom w:val="nil"/>
              <w:right w:val="nil"/>
            </w:tcBorders>
          </w:tcPr>
          <w:p w14:paraId="61C0A92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НСО</w:t>
            </w:r>
            <w:r>
              <w:rPr>
                <w:rFonts w:ascii="Times New Roman CYR" w:hAnsi="Times New Roman CYR" w:cs="Times New Roman CYR"/>
                <w:sz w:val="20"/>
                <w:szCs w:val="20"/>
                <w:vertAlign w:val="subscript"/>
              </w:rPr>
              <w:t>3</w:t>
            </w:r>
            <w:r>
              <w:rPr>
                <w:rFonts w:ascii="Times New Roman CYR" w:hAnsi="Times New Roman CYR" w:cs="Times New Roman CYR"/>
                <w:sz w:val="20"/>
                <w:szCs w:val="20"/>
                <w:vertAlign w:val="superscript"/>
              </w:rPr>
              <w:t>-</w:t>
            </w:r>
          </w:p>
        </w:tc>
        <w:tc>
          <w:tcPr>
            <w:tcW w:w="395" w:type="dxa"/>
            <w:tcBorders>
              <w:top w:val="nil"/>
              <w:left w:val="nil"/>
              <w:bottom w:val="nil"/>
              <w:right w:val="nil"/>
            </w:tcBorders>
          </w:tcPr>
          <w:p w14:paraId="3726E5C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3383" w:type="dxa"/>
            <w:tcBorders>
              <w:top w:val="nil"/>
              <w:left w:val="nil"/>
              <w:bottom w:val="nil"/>
              <w:right w:val="nil"/>
            </w:tcBorders>
          </w:tcPr>
          <w:p w14:paraId="6A4B147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гидрокарбонатный буфер</w:t>
            </w:r>
          </w:p>
        </w:tc>
      </w:tr>
      <w:tr w:rsidR="00000000" w14:paraId="2961AAD7" w14:textId="77777777">
        <w:tblPrEx>
          <w:tblCellMar>
            <w:top w:w="0" w:type="dxa"/>
            <w:bottom w:w="0" w:type="dxa"/>
          </w:tblCellMar>
        </w:tblPrEx>
        <w:tc>
          <w:tcPr>
            <w:tcW w:w="483" w:type="dxa"/>
            <w:tcBorders>
              <w:top w:val="nil"/>
              <w:left w:val="nil"/>
              <w:bottom w:val="nil"/>
              <w:right w:val="nil"/>
            </w:tcBorders>
          </w:tcPr>
          <w:p w14:paraId="494BEE46" w14:textId="77777777" w:rsidR="00000000" w:rsidRDefault="00000000">
            <w:pPr>
              <w:rPr>
                <w:rFonts w:ascii="Times New Roman CYR" w:hAnsi="Times New Roman CYR" w:cs="Times New Roman CYR"/>
                <w:sz w:val="20"/>
                <w:szCs w:val="20"/>
              </w:rPr>
            </w:pPr>
          </w:p>
        </w:tc>
        <w:tc>
          <w:tcPr>
            <w:tcW w:w="1927" w:type="dxa"/>
            <w:tcBorders>
              <w:top w:val="nil"/>
              <w:left w:val="nil"/>
              <w:bottom w:val="nil"/>
              <w:right w:val="nil"/>
            </w:tcBorders>
          </w:tcPr>
          <w:p w14:paraId="0100D7C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253" w:type="dxa"/>
            <w:gridSpan w:val="2"/>
            <w:tcBorders>
              <w:top w:val="nil"/>
              <w:left w:val="nil"/>
              <w:bottom w:val="nil"/>
              <w:right w:val="nil"/>
            </w:tcBorders>
          </w:tcPr>
          <w:p w14:paraId="18620FA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395" w:type="dxa"/>
            <w:tcBorders>
              <w:top w:val="nil"/>
              <w:left w:val="nil"/>
              <w:bottom w:val="nil"/>
              <w:right w:val="nil"/>
            </w:tcBorders>
          </w:tcPr>
          <w:p w14:paraId="04FE91BF" w14:textId="77777777" w:rsidR="00000000" w:rsidRDefault="00000000">
            <w:pPr>
              <w:rPr>
                <w:rFonts w:ascii="Times New Roman CYR" w:hAnsi="Times New Roman CYR" w:cs="Times New Roman CYR"/>
                <w:sz w:val="20"/>
                <w:szCs w:val="20"/>
              </w:rPr>
            </w:pPr>
          </w:p>
        </w:tc>
        <w:tc>
          <w:tcPr>
            <w:tcW w:w="3383" w:type="dxa"/>
            <w:tcBorders>
              <w:top w:val="nil"/>
              <w:left w:val="nil"/>
              <w:bottom w:val="nil"/>
              <w:right w:val="nil"/>
            </w:tcBorders>
          </w:tcPr>
          <w:p w14:paraId="352A0DD6" w14:textId="77777777" w:rsidR="00000000" w:rsidRDefault="00000000">
            <w:pPr>
              <w:rPr>
                <w:rFonts w:ascii="Times New Roman CYR" w:hAnsi="Times New Roman CYR" w:cs="Times New Roman CYR"/>
                <w:sz w:val="20"/>
                <w:szCs w:val="20"/>
              </w:rPr>
            </w:pPr>
          </w:p>
        </w:tc>
      </w:tr>
    </w:tbl>
    <w:p w14:paraId="22E3BF01" w14:textId="77777777" w:rsidR="00000000" w:rsidRDefault="00000000">
      <w:pPr>
        <w:spacing w:line="360" w:lineRule="auto"/>
        <w:ind w:firstLine="709"/>
        <w:jc w:val="both"/>
        <w:rPr>
          <w:rFonts w:ascii="Times New Roman CYR" w:hAnsi="Times New Roman CYR" w:cs="Times New Roman CYR"/>
          <w:sz w:val="28"/>
          <w:szCs w:val="28"/>
          <w:lang w:val="en-US"/>
        </w:rPr>
      </w:pPr>
    </w:p>
    <w:p w14:paraId="162350B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Кислотная буферная система может быть образована и смесью двух солей многоосновной кислоты, соответствующих различным стадиям нейтрализации этой кислоты. </w:t>
      </w:r>
    </w:p>
    <w:p w14:paraId="63DD037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этом случае кислотный остаток одной из солей (менее замещенный) играет роль слабой кислоты, а кислотный остаток второй соли (более замещенный) - сопряженного ей основания.</w:t>
      </w:r>
    </w:p>
    <w:p w14:paraId="30D9DEA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Примером таких систем могут служить:</w:t>
      </w:r>
    </w:p>
    <w:p w14:paraId="313F91A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rPr>
        <w:tab/>
        <w:t>карбонатная буферная система, представляющая собой смесь кислой (</w:t>
      </w:r>
      <w:r>
        <w:rPr>
          <w:rFonts w:ascii="Times New Roman CYR" w:hAnsi="Times New Roman CYR" w:cs="Times New Roman CYR"/>
          <w:sz w:val="28"/>
          <w:szCs w:val="28"/>
          <w:lang w:val="en-US"/>
        </w:rPr>
        <w:t>NaHCO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и средней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солей угольной кислоты</w:t>
      </w:r>
    </w:p>
    <w:p w14:paraId="6EC447A0"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284" w:type="dxa"/>
        <w:tblLayout w:type="fixed"/>
        <w:tblLook w:val="0000" w:firstRow="0" w:lastRow="0" w:firstColumn="0" w:lastColumn="0" w:noHBand="0" w:noVBand="0"/>
      </w:tblPr>
      <w:tblGrid>
        <w:gridCol w:w="1495"/>
        <w:gridCol w:w="272"/>
        <w:gridCol w:w="2266"/>
      </w:tblGrid>
      <w:tr w:rsidR="00000000" w14:paraId="0A639812" w14:textId="77777777">
        <w:tblPrEx>
          <w:tblCellMar>
            <w:top w:w="0" w:type="dxa"/>
            <w:bottom w:w="0" w:type="dxa"/>
          </w:tblCellMar>
        </w:tblPrEx>
        <w:tc>
          <w:tcPr>
            <w:tcW w:w="1495" w:type="dxa"/>
            <w:tcBorders>
              <w:top w:val="nil"/>
              <w:left w:val="nil"/>
              <w:bottom w:val="nil"/>
              <w:right w:val="nil"/>
            </w:tcBorders>
          </w:tcPr>
          <w:p w14:paraId="7AFCC4A6"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HCO</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vertAlign w:val="superscript"/>
              </w:rPr>
              <w:t>-</w:t>
            </w:r>
          </w:p>
        </w:tc>
        <w:tc>
          <w:tcPr>
            <w:tcW w:w="272" w:type="dxa"/>
            <w:tcBorders>
              <w:top w:val="nil"/>
              <w:left w:val="nil"/>
              <w:bottom w:val="nil"/>
              <w:right w:val="nil"/>
            </w:tcBorders>
          </w:tcPr>
          <w:p w14:paraId="4E111A8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w:t>
            </w:r>
          </w:p>
        </w:tc>
        <w:tc>
          <w:tcPr>
            <w:tcW w:w="2266" w:type="dxa"/>
            <w:tcBorders>
              <w:top w:val="nil"/>
              <w:left w:val="nil"/>
              <w:bottom w:val="nil"/>
              <w:right w:val="nil"/>
            </w:tcBorders>
          </w:tcPr>
          <w:p w14:paraId="013286A2"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rPr>
              <w:t>СО</w:t>
            </w:r>
            <w:r>
              <w:rPr>
                <w:rFonts w:ascii="Times New Roman CYR" w:hAnsi="Times New Roman CYR" w:cs="Times New Roman CYR"/>
                <w:sz w:val="20"/>
                <w:szCs w:val="20"/>
                <w:vertAlign w:val="subscript"/>
              </w:rPr>
              <w:t>3</w:t>
            </w:r>
            <w:r>
              <w:rPr>
                <w:rFonts w:ascii="Times New Roman CYR" w:hAnsi="Times New Roman CYR" w:cs="Times New Roman CYR"/>
                <w:sz w:val="20"/>
                <w:szCs w:val="20"/>
                <w:vertAlign w:val="superscript"/>
                <w:lang w:val="en-US"/>
              </w:rPr>
              <w:t>2</w:t>
            </w:r>
            <w:r>
              <w:rPr>
                <w:rFonts w:ascii="Times New Roman CYR" w:hAnsi="Times New Roman CYR" w:cs="Times New Roman CYR"/>
                <w:sz w:val="20"/>
                <w:szCs w:val="20"/>
                <w:vertAlign w:val="superscript"/>
              </w:rPr>
              <w:t>-</w:t>
            </w:r>
          </w:p>
        </w:tc>
      </w:tr>
      <w:tr w:rsidR="00000000" w14:paraId="49CC7675" w14:textId="77777777">
        <w:tblPrEx>
          <w:tblCellMar>
            <w:top w:w="0" w:type="dxa"/>
            <w:bottom w:w="0" w:type="dxa"/>
          </w:tblCellMar>
        </w:tblPrEx>
        <w:tc>
          <w:tcPr>
            <w:tcW w:w="1495" w:type="dxa"/>
            <w:tcBorders>
              <w:top w:val="nil"/>
              <w:left w:val="nil"/>
              <w:bottom w:val="nil"/>
              <w:right w:val="nil"/>
            </w:tcBorders>
          </w:tcPr>
          <w:p w14:paraId="29CDAC4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72" w:type="dxa"/>
            <w:tcBorders>
              <w:top w:val="nil"/>
              <w:left w:val="nil"/>
              <w:bottom w:val="nil"/>
              <w:right w:val="nil"/>
            </w:tcBorders>
          </w:tcPr>
          <w:p w14:paraId="5256040E"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48E6656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43E94B22" w14:textId="77777777" w:rsidR="00000000" w:rsidRDefault="00000000">
      <w:pPr>
        <w:spacing w:line="360" w:lineRule="auto"/>
        <w:ind w:firstLine="709"/>
        <w:jc w:val="both"/>
        <w:rPr>
          <w:rFonts w:ascii="Times New Roman CYR" w:hAnsi="Times New Roman CYR" w:cs="Times New Roman CYR"/>
          <w:sz w:val="28"/>
          <w:szCs w:val="28"/>
        </w:rPr>
      </w:pPr>
    </w:p>
    <w:p w14:paraId="67F42F0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t>2) фосфатные буферные растворы</w:t>
      </w:r>
    </w:p>
    <w:p w14:paraId="1DBC9A3A"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1956"/>
        <w:gridCol w:w="1495"/>
        <w:gridCol w:w="272"/>
        <w:gridCol w:w="2266"/>
      </w:tblGrid>
      <w:tr w:rsidR="00000000" w14:paraId="63BEE18D" w14:textId="77777777">
        <w:tblPrEx>
          <w:tblCellMar>
            <w:top w:w="0" w:type="dxa"/>
            <w:bottom w:w="0" w:type="dxa"/>
          </w:tblCellMar>
        </w:tblPrEx>
        <w:tc>
          <w:tcPr>
            <w:tcW w:w="1956" w:type="dxa"/>
            <w:tcBorders>
              <w:top w:val="nil"/>
              <w:left w:val="nil"/>
              <w:bottom w:val="nil"/>
              <w:right w:val="nil"/>
            </w:tcBorders>
          </w:tcPr>
          <w:p w14:paraId="67755A8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NaH</w:t>
            </w:r>
            <w:r>
              <w:rPr>
                <w:rFonts w:ascii="Times New Roman CYR" w:hAnsi="Times New Roman CYR" w:cs="Times New Roman CYR"/>
                <w:sz w:val="20"/>
                <w:szCs w:val="20"/>
                <w:vertAlign w:val="subscript"/>
              </w:rPr>
              <w:t>2</w:t>
            </w:r>
            <w:r>
              <w:rPr>
                <w:rFonts w:ascii="Times New Roman CYR" w:hAnsi="Times New Roman CYR" w:cs="Times New Roman CYR"/>
                <w:sz w:val="20"/>
                <w:szCs w:val="20"/>
                <w:lang w:val="en-US"/>
              </w:rPr>
              <w:t>PO</w:t>
            </w:r>
            <w:r>
              <w:rPr>
                <w:rFonts w:ascii="Times New Roman CYR" w:hAnsi="Times New Roman CYR" w:cs="Times New Roman CYR"/>
                <w:sz w:val="20"/>
                <w:szCs w:val="20"/>
                <w:vertAlign w:val="subscript"/>
              </w:rPr>
              <w:t>4</w:t>
            </w:r>
            <w:r>
              <w:rPr>
                <w:rFonts w:ascii="Times New Roman CYR" w:hAnsi="Times New Roman CYR" w:cs="Times New Roman CYR"/>
                <w:sz w:val="20"/>
                <w:szCs w:val="20"/>
                <w:lang w:val="en-US"/>
              </w:rPr>
              <w:t xml:space="preserve"> </w:t>
            </w:r>
            <w:r>
              <w:rPr>
                <w:rFonts w:ascii="Times New Roman CYR" w:hAnsi="Times New Roman CYR" w:cs="Times New Roman CYR"/>
                <w:sz w:val="20"/>
                <w:szCs w:val="20"/>
              </w:rPr>
              <w:t>+</w:t>
            </w:r>
            <w:r>
              <w:rPr>
                <w:rFonts w:ascii="Times New Roman CYR" w:hAnsi="Times New Roman CYR" w:cs="Times New Roman CYR"/>
                <w:sz w:val="20"/>
                <w:szCs w:val="20"/>
                <w:lang w:val="en-US"/>
              </w:rPr>
              <w:t xml:space="preserve"> Na</w:t>
            </w:r>
            <w:r>
              <w:rPr>
                <w:rFonts w:ascii="Times New Roman CYR" w:hAnsi="Times New Roman CYR" w:cs="Times New Roman CYR"/>
                <w:sz w:val="20"/>
                <w:szCs w:val="20"/>
                <w:vertAlign w:val="subscript"/>
              </w:rPr>
              <w:t>2</w:t>
            </w:r>
            <w:r>
              <w:rPr>
                <w:rFonts w:ascii="Times New Roman CYR" w:hAnsi="Times New Roman CYR" w:cs="Times New Roman CYR"/>
                <w:sz w:val="20"/>
                <w:szCs w:val="20"/>
                <w:lang w:val="en-US"/>
              </w:rPr>
              <w:t>HPO</w:t>
            </w:r>
            <w:r>
              <w:rPr>
                <w:rFonts w:ascii="Times New Roman CYR" w:hAnsi="Times New Roman CYR" w:cs="Times New Roman CYR"/>
                <w:sz w:val="20"/>
                <w:szCs w:val="20"/>
                <w:vertAlign w:val="subscript"/>
              </w:rPr>
              <w:t>4</w:t>
            </w:r>
          </w:p>
        </w:tc>
        <w:tc>
          <w:tcPr>
            <w:tcW w:w="1495" w:type="dxa"/>
            <w:tcBorders>
              <w:top w:val="nil"/>
              <w:left w:val="nil"/>
              <w:bottom w:val="nil"/>
              <w:right w:val="nil"/>
            </w:tcBorders>
          </w:tcPr>
          <w:p w14:paraId="1C1E63AE"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PO</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rPr>
              <w:t>-</w:t>
            </w:r>
          </w:p>
        </w:tc>
        <w:tc>
          <w:tcPr>
            <w:tcW w:w="272" w:type="dxa"/>
            <w:tcBorders>
              <w:top w:val="nil"/>
              <w:left w:val="nil"/>
              <w:bottom w:val="nil"/>
              <w:right w:val="nil"/>
            </w:tcBorders>
          </w:tcPr>
          <w:p w14:paraId="54E2C90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w:t>
            </w:r>
          </w:p>
        </w:tc>
        <w:tc>
          <w:tcPr>
            <w:tcW w:w="2266" w:type="dxa"/>
            <w:tcBorders>
              <w:top w:val="nil"/>
              <w:left w:val="nil"/>
              <w:bottom w:val="nil"/>
              <w:right w:val="nil"/>
            </w:tcBorders>
          </w:tcPr>
          <w:p w14:paraId="1B45E715"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HPO</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lang w:val="en-US"/>
              </w:rPr>
              <w:t>2</w:t>
            </w:r>
            <w:r>
              <w:rPr>
                <w:rFonts w:ascii="Times New Roman CYR" w:hAnsi="Times New Roman CYR" w:cs="Times New Roman CYR"/>
                <w:sz w:val="20"/>
                <w:szCs w:val="20"/>
                <w:vertAlign w:val="superscript"/>
              </w:rPr>
              <w:t>-</w:t>
            </w:r>
          </w:p>
        </w:tc>
      </w:tr>
      <w:tr w:rsidR="00000000" w14:paraId="17520C3C" w14:textId="77777777">
        <w:tblPrEx>
          <w:tblCellMar>
            <w:top w:w="0" w:type="dxa"/>
            <w:bottom w:w="0" w:type="dxa"/>
          </w:tblCellMar>
        </w:tblPrEx>
        <w:tc>
          <w:tcPr>
            <w:tcW w:w="1956" w:type="dxa"/>
            <w:tcBorders>
              <w:top w:val="nil"/>
              <w:left w:val="nil"/>
              <w:bottom w:val="nil"/>
              <w:right w:val="nil"/>
            </w:tcBorders>
          </w:tcPr>
          <w:p w14:paraId="2CDFBEA8" w14:textId="77777777" w:rsidR="00000000" w:rsidRDefault="00000000">
            <w:pPr>
              <w:rPr>
                <w:rFonts w:ascii="Times New Roman CYR" w:hAnsi="Times New Roman CYR" w:cs="Times New Roman CYR"/>
                <w:sz w:val="20"/>
                <w:szCs w:val="20"/>
                <w:lang w:val="en-US"/>
              </w:rPr>
            </w:pPr>
          </w:p>
        </w:tc>
        <w:tc>
          <w:tcPr>
            <w:tcW w:w="1495" w:type="dxa"/>
            <w:tcBorders>
              <w:top w:val="nil"/>
              <w:left w:val="nil"/>
              <w:bottom w:val="nil"/>
              <w:right w:val="nil"/>
            </w:tcBorders>
          </w:tcPr>
          <w:p w14:paraId="1EA2041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72" w:type="dxa"/>
            <w:tcBorders>
              <w:top w:val="nil"/>
              <w:left w:val="nil"/>
              <w:bottom w:val="nil"/>
              <w:right w:val="nil"/>
            </w:tcBorders>
          </w:tcPr>
          <w:p w14:paraId="488447D1" w14:textId="77777777" w:rsidR="00000000" w:rsidRDefault="00000000">
            <w:pPr>
              <w:rPr>
                <w:rFonts w:ascii="Times New Roman CYR" w:hAnsi="Times New Roman CYR" w:cs="Times New Roman CYR"/>
                <w:sz w:val="20"/>
                <w:szCs w:val="20"/>
                <w:lang w:val="en-US"/>
              </w:rPr>
            </w:pPr>
          </w:p>
        </w:tc>
        <w:tc>
          <w:tcPr>
            <w:tcW w:w="2266" w:type="dxa"/>
            <w:tcBorders>
              <w:top w:val="nil"/>
              <w:left w:val="nil"/>
              <w:bottom w:val="nil"/>
              <w:right w:val="nil"/>
            </w:tcBorders>
          </w:tcPr>
          <w:p w14:paraId="15C3E5C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41AC1B96"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284" w:type="dxa"/>
        <w:tblLayout w:type="fixed"/>
        <w:tblLook w:val="0000" w:firstRow="0" w:lastRow="0" w:firstColumn="0" w:lastColumn="0" w:noHBand="0" w:noVBand="0"/>
      </w:tblPr>
      <w:tblGrid>
        <w:gridCol w:w="1811"/>
        <w:gridCol w:w="1495"/>
        <w:gridCol w:w="272"/>
        <w:gridCol w:w="2266"/>
      </w:tblGrid>
      <w:tr w:rsidR="00000000" w14:paraId="56B60A3C" w14:textId="77777777">
        <w:tblPrEx>
          <w:tblCellMar>
            <w:top w:w="0" w:type="dxa"/>
            <w:bottom w:w="0" w:type="dxa"/>
          </w:tblCellMar>
        </w:tblPrEx>
        <w:tc>
          <w:tcPr>
            <w:tcW w:w="1811" w:type="dxa"/>
            <w:tcBorders>
              <w:top w:val="nil"/>
              <w:left w:val="nil"/>
              <w:bottom w:val="nil"/>
              <w:right w:val="nil"/>
            </w:tcBorders>
          </w:tcPr>
          <w:p w14:paraId="02AB0F6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Na</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HPO</w:t>
            </w:r>
            <w:r>
              <w:rPr>
                <w:rFonts w:ascii="Times New Roman CYR" w:hAnsi="Times New Roman CYR" w:cs="Times New Roman CYR"/>
                <w:sz w:val="20"/>
                <w:szCs w:val="20"/>
                <w:vertAlign w:val="subscript"/>
              </w:rPr>
              <w:t>4</w:t>
            </w:r>
            <w:r>
              <w:rPr>
                <w:rFonts w:ascii="Times New Roman CYR" w:hAnsi="Times New Roman CYR" w:cs="Times New Roman CYR"/>
                <w:sz w:val="20"/>
                <w:szCs w:val="20"/>
                <w:lang w:val="en-US"/>
              </w:rPr>
              <w:t xml:space="preserve"> </w:t>
            </w:r>
            <w:r>
              <w:rPr>
                <w:rFonts w:ascii="Times New Roman CYR" w:hAnsi="Times New Roman CYR" w:cs="Times New Roman CYR"/>
                <w:sz w:val="20"/>
                <w:szCs w:val="20"/>
              </w:rPr>
              <w:t>+</w:t>
            </w:r>
            <w:r>
              <w:rPr>
                <w:rFonts w:ascii="Times New Roman CYR" w:hAnsi="Times New Roman CYR" w:cs="Times New Roman CYR"/>
                <w:sz w:val="20"/>
                <w:szCs w:val="20"/>
                <w:lang w:val="en-US"/>
              </w:rPr>
              <w:t xml:space="preserve"> Na</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PO</w:t>
            </w:r>
            <w:r>
              <w:rPr>
                <w:rFonts w:ascii="Times New Roman CYR" w:hAnsi="Times New Roman CYR" w:cs="Times New Roman CYR"/>
                <w:sz w:val="20"/>
                <w:szCs w:val="20"/>
                <w:vertAlign w:val="subscript"/>
              </w:rPr>
              <w:t>4</w:t>
            </w:r>
          </w:p>
        </w:tc>
        <w:tc>
          <w:tcPr>
            <w:tcW w:w="1495" w:type="dxa"/>
            <w:tcBorders>
              <w:top w:val="nil"/>
              <w:left w:val="nil"/>
              <w:bottom w:val="nil"/>
              <w:right w:val="nil"/>
            </w:tcBorders>
          </w:tcPr>
          <w:p w14:paraId="777AA7F3"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(HPO</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lang w:val="en-US"/>
              </w:rPr>
              <w:t>2</w:t>
            </w:r>
            <w:r>
              <w:rPr>
                <w:rFonts w:ascii="Times New Roman CYR" w:hAnsi="Times New Roman CYR" w:cs="Times New Roman CYR"/>
                <w:sz w:val="20"/>
                <w:szCs w:val="20"/>
                <w:vertAlign w:val="superscript"/>
              </w:rPr>
              <w:t>-</w:t>
            </w:r>
          </w:p>
        </w:tc>
        <w:tc>
          <w:tcPr>
            <w:tcW w:w="272" w:type="dxa"/>
            <w:tcBorders>
              <w:top w:val="nil"/>
              <w:left w:val="nil"/>
              <w:bottom w:val="nil"/>
              <w:right w:val="nil"/>
            </w:tcBorders>
          </w:tcPr>
          <w:p w14:paraId="378A04B3"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w:t>
            </w:r>
          </w:p>
        </w:tc>
        <w:tc>
          <w:tcPr>
            <w:tcW w:w="2266" w:type="dxa"/>
            <w:tcBorders>
              <w:top w:val="nil"/>
              <w:left w:val="nil"/>
              <w:bottom w:val="nil"/>
              <w:right w:val="nil"/>
            </w:tcBorders>
          </w:tcPr>
          <w:p w14:paraId="44E3155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PO</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lang w:val="en-US"/>
              </w:rPr>
              <w:t>3</w:t>
            </w:r>
            <w:r>
              <w:rPr>
                <w:rFonts w:ascii="Times New Roman CYR" w:hAnsi="Times New Roman CYR" w:cs="Times New Roman CYR"/>
                <w:sz w:val="20"/>
                <w:szCs w:val="20"/>
                <w:vertAlign w:val="superscript"/>
              </w:rPr>
              <w:t>-</w:t>
            </w:r>
          </w:p>
        </w:tc>
      </w:tr>
      <w:tr w:rsidR="00000000" w14:paraId="61900623" w14:textId="77777777">
        <w:tblPrEx>
          <w:tblCellMar>
            <w:top w:w="0" w:type="dxa"/>
            <w:bottom w:w="0" w:type="dxa"/>
          </w:tblCellMar>
        </w:tblPrEx>
        <w:tc>
          <w:tcPr>
            <w:tcW w:w="1811" w:type="dxa"/>
            <w:tcBorders>
              <w:top w:val="nil"/>
              <w:left w:val="nil"/>
              <w:bottom w:val="nil"/>
              <w:right w:val="nil"/>
            </w:tcBorders>
          </w:tcPr>
          <w:p w14:paraId="20B38E05" w14:textId="77777777" w:rsidR="00000000" w:rsidRDefault="00000000">
            <w:pPr>
              <w:rPr>
                <w:rFonts w:ascii="Times New Roman CYR" w:hAnsi="Times New Roman CYR" w:cs="Times New Roman CYR"/>
                <w:sz w:val="20"/>
                <w:szCs w:val="20"/>
                <w:lang w:val="en-US"/>
              </w:rPr>
            </w:pPr>
          </w:p>
        </w:tc>
        <w:tc>
          <w:tcPr>
            <w:tcW w:w="1495" w:type="dxa"/>
            <w:tcBorders>
              <w:top w:val="nil"/>
              <w:left w:val="nil"/>
              <w:bottom w:val="nil"/>
              <w:right w:val="nil"/>
            </w:tcBorders>
          </w:tcPr>
          <w:p w14:paraId="235C10B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72" w:type="dxa"/>
            <w:tcBorders>
              <w:top w:val="nil"/>
              <w:left w:val="nil"/>
              <w:bottom w:val="nil"/>
              <w:right w:val="nil"/>
            </w:tcBorders>
          </w:tcPr>
          <w:p w14:paraId="1DF9E71E" w14:textId="77777777" w:rsidR="00000000" w:rsidRDefault="00000000">
            <w:pPr>
              <w:rPr>
                <w:rFonts w:ascii="Times New Roman CYR" w:hAnsi="Times New Roman CYR" w:cs="Times New Roman CYR"/>
                <w:sz w:val="20"/>
                <w:szCs w:val="20"/>
                <w:lang w:val="en-US"/>
              </w:rPr>
            </w:pPr>
          </w:p>
        </w:tc>
        <w:tc>
          <w:tcPr>
            <w:tcW w:w="2266" w:type="dxa"/>
            <w:tcBorders>
              <w:top w:val="nil"/>
              <w:left w:val="nil"/>
              <w:bottom w:val="nil"/>
              <w:right w:val="nil"/>
            </w:tcBorders>
          </w:tcPr>
          <w:p w14:paraId="17242AF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r>
    </w:tbl>
    <w:p w14:paraId="6D485B75" w14:textId="77777777" w:rsidR="00000000" w:rsidRDefault="00000000">
      <w:pPr>
        <w:spacing w:line="360" w:lineRule="auto"/>
        <w:ind w:firstLine="709"/>
        <w:jc w:val="both"/>
        <w:rPr>
          <w:rFonts w:ascii="Times New Roman CYR" w:hAnsi="Times New Roman CYR" w:cs="Times New Roman CYR"/>
          <w:sz w:val="28"/>
          <w:szCs w:val="28"/>
        </w:rPr>
      </w:pPr>
    </w:p>
    <w:p w14:paraId="0BE9832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Следует отметить, что не только смеси, но и растворы некоторых индивидуальных солей (например: тетрабората натрия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B</w:t>
      </w:r>
      <w:r>
        <w:rPr>
          <w:rFonts w:ascii="Times New Roman CYR" w:hAnsi="Times New Roman CYR" w:cs="Times New Roman CYR"/>
          <w:sz w:val="28"/>
          <w:szCs w:val="28"/>
          <w:vertAlign w:val="subscript"/>
        </w:rPr>
        <w:t>4</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rPr>
        <w:t>7</w:t>
      </w:r>
      <w:r>
        <w:rPr>
          <w:rFonts w:ascii="Times New Roman CYR" w:hAnsi="Times New Roman CYR" w:cs="Times New Roman CYR"/>
          <w:sz w:val="28"/>
          <w:szCs w:val="28"/>
        </w:rPr>
        <w:t>), карбоната аммония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и др.) тоже обладают буферными свойствами, которые объясняются сильным гидролизом этих солей и образованием вследствие этого компонентов, необходимых для буферного действия:</w:t>
      </w:r>
    </w:p>
    <w:p w14:paraId="185A2FF0" w14:textId="77777777" w:rsidR="00000000" w:rsidRDefault="00000000">
      <w:pPr>
        <w:spacing w:line="360" w:lineRule="auto"/>
        <w:ind w:firstLine="709"/>
        <w:jc w:val="both"/>
        <w:rPr>
          <w:rFonts w:ascii="Times New Roman CYR" w:hAnsi="Times New Roman CYR" w:cs="Times New Roman CYR"/>
          <w:sz w:val="28"/>
          <w:szCs w:val="28"/>
        </w:rPr>
      </w:pPr>
    </w:p>
    <w:p w14:paraId="56EDD4D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HOH</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lang w:val="en-US"/>
        </w:rPr>
        <w:t>HCO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lang w:val="en-US"/>
        </w:rPr>
        <w:t>OH</w:t>
      </w:r>
    </w:p>
    <w:p w14:paraId="7D0A2C77" w14:textId="77777777" w:rsidR="00000000" w:rsidRDefault="00000000">
      <w:pPr>
        <w:spacing w:line="360" w:lineRule="auto"/>
        <w:ind w:firstLine="709"/>
        <w:jc w:val="both"/>
        <w:rPr>
          <w:rFonts w:ascii="Times New Roman CYR" w:hAnsi="Times New Roman CYR" w:cs="Times New Roman CYR"/>
          <w:sz w:val="28"/>
          <w:szCs w:val="28"/>
        </w:rPr>
      </w:pPr>
    </w:p>
    <w:p w14:paraId="0A58C99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Основные буферные системы образованы слабым неорганическим или органическим основанием и солью этого основания с сильной кислотой. Например:</w:t>
      </w:r>
    </w:p>
    <w:p w14:paraId="0B398EBB"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383"/>
        <w:gridCol w:w="1867"/>
        <w:gridCol w:w="329"/>
        <w:gridCol w:w="759"/>
        <w:gridCol w:w="1923"/>
      </w:tblGrid>
      <w:tr w:rsidR="00000000" w14:paraId="47190FC4" w14:textId="77777777">
        <w:tblPrEx>
          <w:tblCellMar>
            <w:top w:w="0" w:type="dxa"/>
            <w:bottom w:w="0" w:type="dxa"/>
          </w:tblCellMar>
        </w:tblPrEx>
        <w:tc>
          <w:tcPr>
            <w:tcW w:w="383" w:type="dxa"/>
            <w:tcBorders>
              <w:top w:val="nil"/>
              <w:left w:val="nil"/>
              <w:bottom w:val="nil"/>
              <w:right w:val="nil"/>
            </w:tcBorders>
          </w:tcPr>
          <w:p w14:paraId="3A25414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1)</w:t>
            </w:r>
          </w:p>
        </w:tc>
        <w:tc>
          <w:tcPr>
            <w:tcW w:w="1867" w:type="dxa"/>
            <w:tcBorders>
              <w:top w:val="nil"/>
              <w:left w:val="nil"/>
              <w:bottom w:val="nil"/>
              <w:right w:val="nil"/>
            </w:tcBorders>
          </w:tcPr>
          <w:p w14:paraId="4244F942"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 xml:space="preserve"> · H</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O(NH</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lang w:val="en-US"/>
              </w:rPr>
              <w:t>OH)</w:t>
            </w:r>
          </w:p>
        </w:tc>
        <w:tc>
          <w:tcPr>
            <w:tcW w:w="329" w:type="dxa"/>
            <w:tcBorders>
              <w:top w:val="nil"/>
              <w:left w:val="nil"/>
              <w:bottom w:val="nil"/>
              <w:right w:val="nil"/>
            </w:tcBorders>
          </w:tcPr>
          <w:p w14:paraId="6B1B3DFA"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w:t>
            </w:r>
          </w:p>
        </w:tc>
        <w:tc>
          <w:tcPr>
            <w:tcW w:w="759" w:type="dxa"/>
            <w:tcBorders>
              <w:top w:val="nil"/>
              <w:left w:val="nil"/>
              <w:bottom w:val="nil"/>
              <w:right w:val="nil"/>
            </w:tcBorders>
          </w:tcPr>
          <w:p w14:paraId="0F259A55"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lang w:val="en-US"/>
              </w:rPr>
              <w:t>Cl</w:t>
            </w:r>
          </w:p>
        </w:tc>
        <w:tc>
          <w:tcPr>
            <w:tcW w:w="1923" w:type="dxa"/>
            <w:tcBorders>
              <w:top w:val="nil"/>
              <w:left w:val="nil"/>
              <w:bottom w:val="nil"/>
              <w:right w:val="nil"/>
            </w:tcBorders>
          </w:tcPr>
          <w:p w14:paraId="309E61C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 аммиачный буфер</w:t>
            </w:r>
          </w:p>
        </w:tc>
      </w:tr>
      <w:tr w:rsidR="00000000" w14:paraId="1F4AEC7D" w14:textId="77777777">
        <w:tblPrEx>
          <w:tblCellMar>
            <w:top w:w="0" w:type="dxa"/>
            <w:bottom w:w="0" w:type="dxa"/>
          </w:tblCellMar>
        </w:tblPrEx>
        <w:tc>
          <w:tcPr>
            <w:tcW w:w="383" w:type="dxa"/>
            <w:tcBorders>
              <w:top w:val="nil"/>
              <w:left w:val="nil"/>
              <w:bottom w:val="nil"/>
              <w:right w:val="nil"/>
            </w:tcBorders>
          </w:tcPr>
          <w:p w14:paraId="277EA633" w14:textId="77777777" w:rsidR="00000000" w:rsidRDefault="00000000">
            <w:pPr>
              <w:rPr>
                <w:rFonts w:ascii="Times New Roman CYR" w:hAnsi="Times New Roman CYR" w:cs="Times New Roman CYR"/>
                <w:sz w:val="20"/>
                <w:szCs w:val="20"/>
              </w:rPr>
            </w:pPr>
          </w:p>
        </w:tc>
        <w:tc>
          <w:tcPr>
            <w:tcW w:w="1867" w:type="dxa"/>
            <w:tcBorders>
              <w:top w:val="nil"/>
              <w:left w:val="nil"/>
              <w:bottom w:val="nil"/>
              <w:right w:val="nil"/>
            </w:tcBorders>
          </w:tcPr>
          <w:p w14:paraId="40BABDC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слабое основание</w:t>
            </w:r>
          </w:p>
        </w:tc>
        <w:tc>
          <w:tcPr>
            <w:tcW w:w="329" w:type="dxa"/>
            <w:tcBorders>
              <w:top w:val="nil"/>
              <w:left w:val="nil"/>
              <w:bottom w:val="nil"/>
              <w:right w:val="nil"/>
            </w:tcBorders>
          </w:tcPr>
          <w:p w14:paraId="570E7D0A" w14:textId="77777777" w:rsidR="00000000" w:rsidRDefault="00000000">
            <w:pPr>
              <w:rPr>
                <w:rFonts w:ascii="Times New Roman CYR" w:hAnsi="Times New Roman CYR" w:cs="Times New Roman CYR"/>
                <w:sz w:val="20"/>
                <w:szCs w:val="20"/>
              </w:rPr>
            </w:pPr>
          </w:p>
        </w:tc>
        <w:tc>
          <w:tcPr>
            <w:tcW w:w="759" w:type="dxa"/>
            <w:tcBorders>
              <w:top w:val="nil"/>
              <w:left w:val="nil"/>
              <w:bottom w:val="nil"/>
              <w:right w:val="nil"/>
            </w:tcBorders>
          </w:tcPr>
          <w:p w14:paraId="61DFBFF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w:t>
            </w:r>
          </w:p>
        </w:tc>
        <w:tc>
          <w:tcPr>
            <w:tcW w:w="1923" w:type="dxa"/>
            <w:tcBorders>
              <w:top w:val="nil"/>
              <w:left w:val="nil"/>
              <w:bottom w:val="nil"/>
              <w:right w:val="nil"/>
            </w:tcBorders>
          </w:tcPr>
          <w:p w14:paraId="5FD591E5" w14:textId="77777777" w:rsidR="00000000" w:rsidRDefault="00000000">
            <w:pPr>
              <w:rPr>
                <w:rFonts w:ascii="Times New Roman CYR" w:hAnsi="Times New Roman CYR" w:cs="Times New Roman CYR"/>
                <w:sz w:val="20"/>
                <w:szCs w:val="20"/>
              </w:rPr>
            </w:pPr>
          </w:p>
        </w:tc>
      </w:tr>
    </w:tbl>
    <w:p w14:paraId="185F3946"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383"/>
        <w:gridCol w:w="1716"/>
        <w:gridCol w:w="329"/>
        <w:gridCol w:w="1167"/>
        <w:gridCol w:w="2182"/>
      </w:tblGrid>
      <w:tr w:rsidR="00000000" w14:paraId="5B75C611" w14:textId="77777777">
        <w:tblPrEx>
          <w:tblCellMar>
            <w:top w:w="0" w:type="dxa"/>
            <w:bottom w:w="0" w:type="dxa"/>
          </w:tblCellMar>
        </w:tblPrEx>
        <w:tc>
          <w:tcPr>
            <w:tcW w:w="383" w:type="dxa"/>
            <w:tcBorders>
              <w:top w:val="nil"/>
              <w:left w:val="nil"/>
              <w:bottom w:val="nil"/>
              <w:right w:val="nil"/>
            </w:tcBorders>
          </w:tcPr>
          <w:p w14:paraId="1824FF4F"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2)</w:t>
            </w:r>
          </w:p>
        </w:tc>
        <w:tc>
          <w:tcPr>
            <w:tcW w:w="1716" w:type="dxa"/>
            <w:tcBorders>
              <w:top w:val="nil"/>
              <w:left w:val="nil"/>
              <w:bottom w:val="nil"/>
              <w:right w:val="nil"/>
            </w:tcBorders>
          </w:tcPr>
          <w:p w14:paraId="5E633B1C"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5</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2</w:t>
            </w:r>
          </w:p>
        </w:tc>
        <w:tc>
          <w:tcPr>
            <w:tcW w:w="329" w:type="dxa"/>
            <w:tcBorders>
              <w:top w:val="nil"/>
              <w:left w:val="nil"/>
              <w:bottom w:val="nil"/>
              <w:right w:val="nil"/>
            </w:tcBorders>
          </w:tcPr>
          <w:p w14:paraId="1FDF90F8"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w:t>
            </w:r>
          </w:p>
        </w:tc>
        <w:tc>
          <w:tcPr>
            <w:tcW w:w="1167" w:type="dxa"/>
            <w:tcBorders>
              <w:top w:val="nil"/>
              <w:left w:val="nil"/>
              <w:bottom w:val="nil"/>
              <w:right w:val="nil"/>
            </w:tcBorders>
          </w:tcPr>
          <w:p w14:paraId="5EC92DDE"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5</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Cl</w:t>
            </w:r>
          </w:p>
        </w:tc>
        <w:tc>
          <w:tcPr>
            <w:tcW w:w="2182" w:type="dxa"/>
            <w:tcBorders>
              <w:top w:val="nil"/>
              <w:left w:val="nil"/>
              <w:bottom w:val="nil"/>
              <w:right w:val="nil"/>
            </w:tcBorders>
          </w:tcPr>
          <w:p w14:paraId="66F18B3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 этиламиновый буфер</w:t>
            </w:r>
          </w:p>
        </w:tc>
      </w:tr>
      <w:tr w:rsidR="00000000" w14:paraId="30393470" w14:textId="77777777">
        <w:tblPrEx>
          <w:tblCellMar>
            <w:top w:w="0" w:type="dxa"/>
            <w:bottom w:w="0" w:type="dxa"/>
          </w:tblCellMar>
        </w:tblPrEx>
        <w:tc>
          <w:tcPr>
            <w:tcW w:w="383" w:type="dxa"/>
            <w:tcBorders>
              <w:top w:val="nil"/>
              <w:left w:val="nil"/>
              <w:bottom w:val="nil"/>
              <w:right w:val="nil"/>
            </w:tcBorders>
          </w:tcPr>
          <w:p w14:paraId="503C7043" w14:textId="77777777" w:rsidR="00000000" w:rsidRDefault="00000000">
            <w:pPr>
              <w:rPr>
                <w:rFonts w:ascii="Times New Roman CYR" w:hAnsi="Times New Roman CYR" w:cs="Times New Roman CYR"/>
                <w:sz w:val="20"/>
                <w:szCs w:val="20"/>
              </w:rPr>
            </w:pPr>
          </w:p>
        </w:tc>
        <w:tc>
          <w:tcPr>
            <w:tcW w:w="1716" w:type="dxa"/>
            <w:tcBorders>
              <w:top w:val="nil"/>
              <w:left w:val="nil"/>
              <w:bottom w:val="nil"/>
              <w:right w:val="nil"/>
            </w:tcBorders>
          </w:tcPr>
          <w:p w14:paraId="39AB9E5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слабое основание</w:t>
            </w:r>
          </w:p>
        </w:tc>
        <w:tc>
          <w:tcPr>
            <w:tcW w:w="329" w:type="dxa"/>
            <w:tcBorders>
              <w:top w:val="nil"/>
              <w:left w:val="nil"/>
              <w:bottom w:val="nil"/>
              <w:right w:val="nil"/>
            </w:tcBorders>
          </w:tcPr>
          <w:p w14:paraId="07E768CC" w14:textId="77777777" w:rsidR="00000000" w:rsidRDefault="00000000">
            <w:pPr>
              <w:rPr>
                <w:rFonts w:ascii="Times New Roman CYR" w:hAnsi="Times New Roman CYR" w:cs="Times New Roman CYR"/>
                <w:sz w:val="20"/>
                <w:szCs w:val="20"/>
              </w:rPr>
            </w:pPr>
          </w:p>
        </w:tc>
        <w:tc>
          <w:tcPr>
            <w:tcW w:w="1167" w:type="dxa"/>
            <w:tcBorders>
              <w:top w:val="nil"/>
              <w:left w:val="nil"/>
              <w:bottom w:val="nil"/>
              <w:right w:val="nil"/>
            </w:tcBorders>
          </w:tcPr>
          <w:p w14:paraId="53AC1C1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w:t>
            </w:r>
          </w:p>
        </w:tc>
        <w:tc>
          <w:tcPr>
            <w:tcW w:w="2182" w:type="dxa"/>
            <w:tcBorders>
              <w:top w:val="nil"/>
              <w:left w:val="nil"/>
              <w:bottom w:val="nil"/>
              <w:right w:val="nil"/>
            </w:tcBorders>
          </w:tcPr>
          <w:p w14:paraId="0CBFAC14" w14:textId="77777777" w:rsidR="00000000" w:rsidRDefault="00000000">
            <w:pPr>
              <w:rPr>
                <w:rFonts w:ascii="Times New Roman CYR" w:hAnsi="Times New Roman CYR" w:cs="Times New Roman CYR"/>
                <w:sz w:val="20"/>
                <w:szCs w:val="20"/>
              </w:rPr>
            </w:pPr>
          </w:p>
        </w:tc>
      </w:tr>
    </w:tbl>
    <w:p w14:paraId="1D9D76DE" w14:textId="77777777" w:rsidR="00000000" w:rsidRDefault="00000000">
      <w:pPr>
        <w:spacing w:line="360" w:lineRule="auto"/>
        <w:ind w:firstLine="709"/>
        <w:jc w:val="both"/>
        <w:rPr>
          <w:rFonts w:ascii="Times New Roman CYR" w:hAnsi="Times New Roman CYR" w:cs="Times New Roman CYR"/>
          <w:sz w:val="28"/>
          <w:szCs w:val="28"/>
        </w:rPr>
      </w:pPr>
    </w:p>
    <w:p w14:paraId="3CE5F5B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Определенным буферным действием обладают также и растворы многих органических веществ, молекулы которых одновременно содержат в своем составе функциональные группы, проявляющие как слабые кислотные (СООН-группы), так и основные (NH2-группы) свойства.</w:t>
      </w:r>
    </w:p>
    <w:p w14:paraId="5D1164B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 точки зрения теории Бренстеда-Лоури основная буферная система также представляет собой равновесную смесь слабой кислоты и сопряженного ей основания, только роль кислоты в данном случае выполняет образующийся при диссоциации соли катион:</w:t>
      </w:r>
    </w:p>
    <w:p w14:paraId="7F51D9DB"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383"/>
        <w:gridCol w:w="1495"/>
        <w:gridCol w:w="272"/>
        <w:gridCol w:w="2266"/>
        <w:gridCol w:w="1923"/>
      </w:tblGrid>
      <w:tr w:rsidR="00000000" w14:paraId="6D36E867" w14:textId="77777777">
        <w:tblPrEx>
          <w:tblCellMar>
            <w:top w:w="0" w:type="dxa"/>
            <w:bottom w:w="0" w:type="dxa"/>
          </w:tblCellMar>
        </w:tblPrEx>
        <w:tc>
          <w:tcPr>
            <w:tcW w:w="383" w:type="dxa"/>
            <w:tcBorders>
              <w:top w:val="nil"/>
              <w:left w:val="nil"/>
              <w:bottom w:val="nil"/>
              <w:right w:val="nil"/>
            </w:tcBorders>
          </w:tcPr>
          <w:p w14:paraId="021F9FCC"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1)</w:t>
            </w:r>
          </w:p>
        </w:tc>
        <w:tc>
          <w:tcPr>
            <w:tcW w:w="1495" w:type="dxa"/>
            <w:tcBorders>
              <w:top w:val="nil"/>
              <w:left w:val="nil"/>
              <w:bottom w:val="nil"/>
              <w:right w:val="nil"/>
            </w:tcBorders>
          </w:tcPr>
          <w:p w14:paraId="124204B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vertAlign w:val="superscript"/>
              </w:rPr>
              <w:t>+</w:t>
            </w:r>
          </w:p>
        </w:tc>
        <w:tc>
          <w:tcPr>
            <w:tcW w:w="272" w:type="dxa"/>
            <w:tcBorders>
              <w:top w:val="nil"/>
              <w:left w:val="nil"/>
              <w:bottom w:val="nil"/>
              <w:right w:val="nil"/>
            </w:tcBorders>
          </w:tcPr>
          <w:p w14:paraId="09BABAE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66" w:type="dxa"/>
            <w:tcBorders>
              <w:top w:val="nil"/>
              <w:left w:val="nil"/>
              <w:bottom w:val="nil"/>
              <w:right w:val="nil"/>
            </w:tcBorders>
          </w:tcPr>
          <w:p w14:paraId="5BA09D5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rPr>
              <w:t>3</w:t>
            </w:r>
          </w:p>
        </w:tc>
        <w:tc>
          <w:tcPr>
            <w:tcW w:w="1923" w:type="dxa"/>
            <w:tcBorders>
              <w:top w:val="nil"/>
              <w:left w:val="nil"/>
              <w:bottom w:val="nil"/>
              <w:right w:val="nil"/>
            </w:tcBorders>
          </w:tcPr>
          <w:p w14:paraId="3BC0C44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 аммиачный буфер</w:t>
            </w:r>
          </w:p>
        </w:tc>
      </w:tr>
      <w:tr w:rsidR="00000000" w14:paraId="25D5D98C" w14:textId="77777777">
        <w:tblPrEx>
          <w:tblCellMar>
            <w:top w:w="0" w:type="dxa"/>
            <w:bottom w:w="0" w:type="dxa"/>
          </w:tblCellMar>
        </w:tblPrEx>
        <w:tc>
          <w:tcPr>
            <w:tcW w:w="383" w:type="dxa"/>
            <w:tcBorders>
              <w:top w:val="nil"/>
              <w:left w:val="nil"/>
              <w:bottom w:val="nil"/>
              <w:right w:val="nil"/>
            </w:tcBorders>
          </w:tcPr>
          <w:p w14:paraId="6E7EA6FC" w14:textId="77777777" w:rsidR="00000000" w:rsidRDefault="00000000">
            <w:pPr>
              <w:rPr>
                <w:rFonts w:ascii="Times New Roman CYR" w:hAnsi="Times New Roman CYR" w:cs="Times New Roman CYR"/>
                <w:sz w:val="20"/>
                <w:szCs w:val="20"/>
              </w:rPr>
            </w:pPr>
          </w:p>
        </w:tc>
        <w:tc>
          <w:tcPr>
            <w:tcW w:w="1495" w:type="dxa"/>
            <w:tcBorders>
              <w:top w:val="nil"/>
              <w:left w:val="nil"/>
              <w:bottom w:val="nil"/>
              <w:right w:val="nil"/>
            </w:tcBorders>
          </w:tcPr>
          <w:p w14:paraId="0BD8FD3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72" w:type="dxa"/>
            <w:tcBorders>
              <w:top w:val="nil"/>
              <w:left w:val="nil"/>
              <w:bottom w:val="nil"/>
              <w:right w:val="nil"/>
            </w:tcBorders>
          </w:tcPr>
          <w:p w14:paraId="1E7727EF"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5C43C67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1923" w:type="dxa"/>
            <w:tcBorders>
              <w:top w:val="nil"/>
              <w:left w:val="nil"/>
              <w:bottom w:val="nil"/>
              <w:right w:val="nil"/>
            </w:tcBorders>
          </w:tcPr>
          <w:p w14:paraId="2F2126AF" w14:textId="77777777" w:rsidR="00000000" w:rsidRDefault="00000000">
            <w:pPr>
              <w:rPr>
                <w:rFonts w:ascii="Times New Roman CYR" w:hAnsi="Times New Roman CYR" w:cs="Times New Roman CYR"/>
                <w:sz w:val="20"/>
                <w:szCs w:val="20"/>
              </w:rPr>
            </w:pPr>
          </w:p>
        </w:tc>
      </w:tr>
    </w:tbl>
    <w:p w14:paraId="18079EC3"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383"/>
        <w:gridCol w:w="1495"/>
        <w:gridCol w:w="272"/>
        <w:gridCol w:w="2266"/>
        <w:gridCol w:w="2182"/>
      </w:tblGrid>
      <w:tr w:rsidR="00000000" w14:paraId="5DE9C460" w14:textId="77777777">
        <w:tblPrEx>
          <w:tblCellMar>
            <w:top w:w="0" w:type="dxa"/>
            <w:bottom w:w="0" w:type="dxa"/>
          </w:tblCellMar>
        </w:tblPrEx>
        <w:tc>
          <w:tcPr>
            <w:tcW w:w="383" w:type="dxa"/>
            <w:tcBorders>
              <w:top w:val="nil"/>
              <w:left w:val="nil"/>
              <w:bottom w:val="nil"/>
              <w:right w:val="nil"/>
            </w:tcBorders>
          </w:tcPr>
          <w:p w14:paraId="77625C9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2)</w:t>
            </w:r>
          </w:p>
        </w:tc>
        <w:tc>
          <w:tcPr>
            <w:tcW w:w="1495" w:type="dxa"/>
            <w:tcBorders>
              <w:top w:val="nil"/>
              <w:left w:val="nil"/>
              <w:bottom w:val="nil"/>
              <w:right w:val="nil"/>
            </w:tcBorders>
          </w:tcPr>
          <w:p w14:paraId="13868D6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5</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rPr>
              <w:t>3</w:t>
            </w:r>
            <w:r>
              <w:rPr>
                <w:rFonts w:ascii="Times New Roman CYR" w:hAnsi="Times New Roman CYR" w:cs="Times New Roman CYR"/>
                <w:sz w:val="20"/>
                <w:szCs w:val="20"/>
                <w:vertAlign w:val="superscript"/>
              </w:rPr>
              <w:t>+</w:t>
            </w:r>
          </w:p>
        </w:tc>
        <w:tc>
          <w:tcPr>
            <w:tcW w:w="272" w:type="dxa"/>
            <w:tcBorders>
              <w:top w:val="nil"/>
              <w:left w:val="nil"/>
              <w:bottom w:val="nil"/>
              <w:right w:val="nil"/>
            </w:tcBorders>
          </w:tcPr>
          <w:p w14:paraId="2BEAA69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266" w:type="dxa"/>
            <w:tcBorders>
              <w:top w:val="nil"/>
              <w:left w:val="nil"/>
              <w:bottom w:val="nil"/>
              <w:right w:val="nil"/>
            </w:tcBorders>
          </w:tcPr>
          <w:p w14:paraId="6404EAD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H</w:t>
            </w:r>
            <w:r>
              <w:rPr>
                <w:rFonts w:ascii="Times New Roman CYR" w:hAnsi="Times New Roman CYR" w:cs="Times New Roman CYR"/>
                <w:sz w:val="20"/>
                <w:szCs w:val="20"/>
                <w:vertAlign w:val="subscript"/>
                <w:lang w:val="en-US"/>
              </w:rPr>
              <w:t>5</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lang w:val="en-US"/>
              </w:rPr>
              <w:t>2</w:t>
            </w:r>
          </w:p>
        </w:tc>
        <w:tc>
          <w:tcPr>
            <w:tcW w:w="2182" w:type="dxa"/>
            <w:tcBorders>
              <w:top w:val="nil"/>
              <w:left w:val="nil"/>
              <w:bottom w:val="nil"/>
              <w:right w:val="nil"/>
            </w:tcBorders>
          </w:tcPr>
          <w:p w14:paraId="2BB1C54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 этиламиновый буфер</w:t>
            </w:r>
          </w:p>
        </w:tc>
      </w:tr>
      <w:tr w:rsidR="00000000" w14:paraId="4700DD68" w14:textId="77777777">
        <w:tblPrEx>
          <w:tblCellMar>
            <w:top w:w="0" w:type="dxa"/>
            <w:bottom w:w="0" w:type="dxa"/>
          </w:tblCellMar>
        </w:tblPrEx>
        <w:tc>
          <w:tcPr>
            <w:tcW w:w="383" w:type="dxa"/>
            <w:tcBorders>
              <w:top w:val="nil"/>
              <w:left w:val="nil"/>
              <w:bottom w:val="nil"/>
              <w:right w:val="nil"/>
            </w:tcBorders>
          </w:tcPr>
          <w:p w14:paraId="6C1F8EAF" w14:textId="77777777" w:rsidR="00000000" w:rsidRDefault="00000000">
            <w:pPr>
              <w:rPr>
                <w:rFonts w:ascii="Times New Roman CYR" w:hAnsi="Times New Roman CYR" w:cs="Times New Roman CYR"/>
                <w:sz w:val="20"/>
                <w:szCs w:val="20"/>
              </w:rPr>
            </w:pPr>
          </w:p>
        </w:tc>
        <w:tc>
          <w:tcPr>
            <w:tcW w:w="1495" w:type="dxa"/>
            <w:tcBorders>
              <w:top w:val="nil"/>
              <w:left w:val="nil"/>
              <w:bottom w:val="nil"/>
              <w:right w:val="nil"/>
            </w:tcBorders>
          </w:tcPr>
          <w:p w14:paraId="11B1BA6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кислота</w:t>
            </w:r>
          </w:p>
        </w:tc>
        <w:tc>
          <w:tcPr>
            <w:tcW w:w="272" w:type="dxa"/>
            <w:tcBorders>
              <w:top w:val="nil"/>
              <w:left w:val="nil"/>
              <w:bottom w:val="nil"/>
              <w:right w:val="nil"/>
            </w:tcBorders>
          </w:tcPr>
          <w:p w14:paraId="6A499BF8" w14:textId="77777777" w:rsidR="00000000" w:rsidRDefault="00000000">
            <w:pPr>
              <w:rPr>
                <w:rFonts w:ascii="Times New Roman CYR" w:hAnsi="Times New Roman CYR" w:cs="Times New Roman CYR"/>
                <w:sz w:val="20"/>
                <w:szCs w:val="20"/>
              </w:rPr>
            </w:pPr>
          </w:p>
        </w:tc>
        <w:tc>
          <w:tcPr>
            <w:tcW w:w="2266" w:type="dxa"/>
            <w:tcBorders>
              <w:top w:val="nil"/>
              <w:left w:val="nil"/>
              <w:bottom w:val="nil"/>
              <w:right w:val="nil"/>
            </w:tcBorders>
          </w:tcPr>
          <w:p w14:paraId="24F17806"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сопряженное основание</w:t>
            </w:r>
          </w:p>
        </w:tc>
        <w:tc>
          <w:tcPr>
            <w:tcW w:w="2182" w:type="dxa"/>
            <w:tcBorders>
              <w:top w:val="nil"/>
              <w:left w:val="nil"/>
              <w:bottom w:val="nil"/>
              <w:right w:val="nil"/>
            </w:tcBorders>
          </w:tcPr>
          <w:p w14:paraId="5E964C7A" w14:textId="77777777" w:rsidR="00000000" w:rsidRDefault="00000000">
            <w:pPr>
              <w:rPr>
                <w:rFonts w:ascii="Times New Roman CYR" w:hAnsi="Times New Roman CYR" w:cs="Times New Roman CYR"/>
                <w:sz w:val="20"/>
                <w:szCs w:val="20"/>
              </w:rPr>
            </w:pPr>
          </w:p>
        </w:tc>
      </w:tr>
    </w:tbl>
    <w:p w14:paraId="073AA6A4" w14:textId="77777777" w:rsidR="00000000" w:rsidRDefault="00000000">
      <w:pPr>
        <w:spacing w:line="360" w:lineRule="auto"/>
        <w:ind w:firstLine="709"/>
        <w:jc w:val="both"/>
        <w:rPr>
          <w:rFonts w:ascii="Times New Roman CYR" w:hAnsi="Times New Roman CYR" w:cs="Times New Roman CYR"/>
          <w:sz w:val="28"/>
          <w:szCs w:val="28"/>
        </w:rPr>
      </w:pPr>
    </w:p>
    <w:p w14:paraId="70179C7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своей природе данные соединения являются амфолитами. К ним относятся аминокислоты, белки, пептиды.</w:t>
      </w:r>
    </w:p>
    <w:p w14:paraId="54DA9EF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любая кислотно-основная буферная система является равновесной смесью, состоящей из донора и акцептора протонов.</w:t>
      </w:r>
    </w:p>
    <w:p w14:paraId="6210DE1D"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такой системе, содержащей в своем составе слабую кислоту, различают </w:t>
      </w:r>
      <w:r>
        <w:rPr>
          <w:rFonts w:ascii="Times New Roman CYR" w:hAnsi="Times New Roman CYR" w:cs="Times New Roman CYR"/>
          <w:b/>
          <w:bCs/>
          <w:sz w:val="28"/>
          <w:szCs w:val="28"/>
        </w:rPr>
        <w:t>общую, активную и потенциальную кислотности</w:t>
      </w:r>
      <w:r>
        <w:rPr>
          <w:rFonts w:ascii="Times New Roman CYR" w:hAnsi="Times New Roman CYR" w:cs="Times New Roman CYR"/>
          <w:sz w:val="28"/>
          <w:szCs w:val="28"/>
        </w:rPr>
        <w:t>:</w:t>
      </w:r>
    </w:p>
    <w:p w14:paraId="3C25F8D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b/>
          <w:bCs/>
          <w:sz w:val="28"/>
          <w:szCs w:val="28"/>
        </w:rPr>
        <w:t>общая кислотность</w:t>
      </w:r>
      <w:r>
        <w:rPr>
          <w:rFonts w:ascii="Times New Roman CYR" w:hAnsi="Times New Roman CYR" w:cs="Times New Roman CYR"/>
          <w:sz w:val="28"/>
          <w:szCs w:val="28"/>
        </w:rPr>
        <w:t xml:space="preserve"> соответствует максимально возможной концентрации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в данном растворе, если теоретически предположить, что все имеющиеся в нем молекулы кислоты полностью распадутся на ионы, а гидролиз имеющейся соли можно не учитывать. Общая кислотность численно равна молярной концентрации химического эквивалента кислоты в растворе и определяется опытным путем (например с помощью титриметрического метода анализа);</w:t>
      </w:r>
    </w:p>
    <w:p w14:paraId="17C7548D"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b/>
          <w:bCs/>
          <w:sz w:val="28"/>
          <w:szCs w:val="28"/>
        </w:rPr>
        <w:t>активная кислотность</w:t>
      </w:r>
      <w:r>
        <w:rPr>
          <w:rFonts w:ascii="Times New Roman CYR" w:hAnsi="Times New Roman CYR" w:cs="Times New Roman CYR"/>
          <w:sz w:val="28"/>
          <w:szCs w:val="28"/>
        </w:rPr>
        <w:t xml:space="preserve"> равна концентрации (или активности) содержащихся «свободных»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образовавшихся в результате диссоциации некоторого количества молекул кислоты;</w:t>
      </w:r>
    </w:p>
    <w:p w14:paraId="55036AE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b/>
          <w:bCs/>
          <w:sz w:val="28"/>
          <w:szCs w:val="28"/>
        </w:rPr>
        <w:t>потенциальная кислотность</w:t>
      </w:r>
      <w:r>
        <w:rPr>
          <w:rFonts w:ascii="Times New Roman CYR" w:hAnsi="Times New Roman CYR" w:cs="Times New Roman CYR"/>
          <w:sz w:val="28"/>
          <w:szCs w:val="28"/>
        </w:rPr>
        <w:t xml:space="preserve"> определяется совокупностью присутствующих в системе недиссоциированных молекул кислоты.</w:t>
      </w:r>
    </w:p>
    <w:p w14:paraId="7F291D4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Потенциальная кислотность может быть вычислена вычитанием из общей кислотности активной. Например, для ацетатного буфера все эти виды кислотности можно условно представить следующим образом:</w:t>
      </w:r>
    </w:p>
    <w:p w14:paraId="6754DBD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t>Схема</w:t>
      </w:r>
    </w:p>
    <w:tbl>
      <w:tblPr>
        <w:tblW w:w="0" w:type="auto"/>
        <w:tblInd w:w="284" w:type="dxa"/>
        <w:tblLayout w:type="fixed"/>
        <w:tblLook w:val="0000" w:firstRow="0" w:lastRow="0" w:firstColumn="0" w:lastColumn="0" w:noHBand="0" w:noVBand="0"/>
      </w:tblPr>
      <w:tblGrid>
        <w:gridCol w:w="2593"/>
        <w:gridCol w:w="395"/>
        <w:gridCol w:w="2084"/>
        <w:gridCol w:w="329"/>
        <w:gridCol w:w="1483"/>
      </w:tblGrid>
      <w:tr w:rsidR="00000000" w14:paraId="5B65B5DF" w14:textId="77777777">
        <w:tblPrEx>
          <w:tblCellMar>
            <w:top w:w="0" w:type="dxa"/>
            <w:bottom w:w="0" w:type="dxa"/>
          </w:tblCellMar>
        </w:tblPrEx>
        <w:tc>
          <w:tcPr>
            <w:tcW w:w="2593" w:type="dxa"/>
            <w:tcBorders>
              <w:top w:val="nil"/>
              <w:left w:val="nil"/>
              <w:bottom w:val="nil"/>
              <w:right w:val="nil"/>
            </w:tcBorders>
          </w:tcPr>
          <w:p w14:paraId="3D82F05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СООН</w:t>
            </w:r>
          </w:p>
        </w:tc>
        <w:tc>
          <w:tcPr>
            <w:tcW w:w="395" w:type="dxa"/>
            <w:tcBorders>
              <w:top w:val="nil"/>
              <w:left w:val="nil"/>
              <w:bottom w:val="nil"/>
              <w:right w:val="nil"/>
            </w:tcBorders>
          </w:tcPr>
          <w:p w14:paraId="634C2C80" w14:textId="77777777" w:rsidR="00000000" w:rsidRDefault="00000000">
            <w:pPr>
              <w:rPr>
                <w:rFonts w:ascii="Times New Roman CYR" w:hAnsi="Times New Roman CYR" w:cs="Times New Roman CYR"/>
                <w:sz w:val="20"/>
                <w:szCs w:val="20"/>
              </w:rPr>
            </w:pPr>
            <w:r>
              <w:rPr>
                <w:rFonts w:ascii="Wingdings 3" w:hAnsi="Wingdings 3" w:cs="Wingdings 3"/>
                <w:sz w:val="20"/>
                <w:szCs w:val="20"/>
              </w:rPr>
              <w:t>D</w:t>
            </w:r>
          </w:p>
        </w:tc>
        <w:tc>
          <w:tcPr>
            <w:tcW w:w="2084" w:type="dxa"/>
            <w:tcBorders>
              <w:top w:val="nil"/>
              <w:left w:val="nil"/>
              <w:bottom w:val="nil"/>
              <w:right w:val="nil"/>
            </w:tcBorders>
          </w:tcPr>
          <w:p w14:paraId="7C5408FB"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Н</w:t>
            </w:r>
            <w:r>
              <w:rPr>
                <w:rFonts w:ascii="Times New Roman CYR" w:hAnsi="Times New Roman CYR" w:cs="Times New Roman CYR"/>
                <w:sz w:val="20"/>
                <w:szCs w:val="20"/>
                <w:vertAlign w:val="superscript"/>
              </w:rPr>
              <w:t>+</w:t>
            </w:r>
          </w:p>
        </w:tc>
        <w:tc>
          <w:tcPr>
            <w:tcW w:w="329" w:type="dxa"/>
            <w:tcBorders>
              <w:top w:val="nil"/>
              <w:left w:val="nil"/>
              <w:bottom w:val="nil"/>
              <w:right w:val="nil"/>
            </w:tcBorders>
          </w:tcPr>
          <w:p w14:paraId="3EE98742"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483" w:type="dxa"/>
            <w:tcBorders>
              <w:top w:val="nil"/>
              <w:left w:val="nil"/>
              <w:bottom w:val="nil"/>
              <w:right w:val="nil"/>
            </w:tcBorders>
          </w:tcPr>
          <w:p w14:paraId="1FF6D56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СН</w:t>
            </w:r>
            <w:r>
              <w:rPr>
                <w:rFonts w:ascii="Times New Roman CYR" w:hAnsi="Times New Roman CYR" w:cs="Times New Roman CYR"/>
                <w:sz w:val="20"/>
                <w:szCs w:val="20"/>
                <w:vertAlign w:val="subscript"/>
              </w:rPr>
              <w:t>3</w:t>
            </w:r>
            <w:r>
              <w:rPr>
                <w:rFonts w:ascii="Times New Roman CYR" w:hAnsi="Times New Roman CYR" w:cs="Times New Roman CYR"/>
                <w:sz w:val="20"/>
                <w:szCs w:val="20"/>
              </w:rPr>
              <w:t>СОО</w:t>
            </w:r>
            <w:r>
              <w:rPr>
                <w:rFonts w:ascii="Times New Roman CYR" w:hAnsi="Times New Roman CYR" w:cs="Times New Roman CYR"/>
                <w:sz w:val="20"/>
                <w:szCs w:val="20"/>
                <w:vertAlign w:val="superscript"/>
              </w:rPr>
              <w:t>-</w:t>
            </w:r>
          </w:p>
        </w:tc>
      </w:tr>
      <w:tr w:rsidR="00000000" w14:paraId="44F66060" w14:textId="77777777">
        <w:tblPrEx>
          <w:tblCellMar>
            <w:top w:w="0" w:type="dxa"/>
            <w:bottom w:w="0" w:type="dxa"/>
          </w:tblCellMar>
        </w:tblPrEx>
        <w:tc>
          <w:tcPr>
            <w:tcW w:w="2593" w:type="dxa"/>
            <w:tcBorders>
              <w:top w:val="nil"/>
              <w:left w:val="nil"/>
              <w:bottom w:val="nil"/>
              <w:right w:val="nil"/>
            </w:tcBorders>
          </w:tcPr>
          <w:p w14:paraId="67FF039A" w14:textId="77777777" w:rsidR="00000000" w:rsidRDefault="00000000">
            <w:pPr>
              <w:rPr>
                <w:rFonts w:ascii="Times New Roman CYR" w:hAnsi="Times New Roman CYR" w:cs="Times New Roman CYR"/>
                <w:sz w:val="20"/>
                <w:szCs w:val="20"/>
              </w:rPr>
            </w:pPr>
          </w:p>
        </w:tc>
        <w:tc>
          <w:tcPr>
            <w:tcW w:w="395" w:type="dxa"/>
            <w:tcBorders>
              <w:top w:val="nil"/>
              <w:left w:val="nil"/>
              <w:bottom w:val="nil"/>
              <w:right w:val="nil"/>
            </w:tcBorders>
          </w:tcPr>
          <w:p w14:paraId="3D3A11BF" w14:textId="77777777" w:rsidR="00000000" w:rsidRDefault="00000000">
            <w:pPr>
              <w:rPr>
                <w:rFonts w:ascii="Times New Roman CYR" w:hAnsi="Times New Roman CYR" w:cs="Times New Roman CYR"/>
                <w:sz w:val="20"/>
                <w:szCs w:val="20"/>
              </w:rPr>
            </w:pPr>
          </w:p>
        </w:tc>
        <w:tc>
          <w:tcPr>
            <w:tcW w:w="2084" w:type="dxa"/>
            <w:tcBorders>
              <w:top w:val="nil"/>
              <w:left w:val="nil"/>
              <w:bottom w:val="nil"/>
              <w:right w:val="nil"/>
            </w:tcBorders>
          </w:tcPr>
          <w:p w14:paraId="77C7AE51" w14:textId="77777777" w:rsidR="00000000" w:rsidRDefault="00000000">
            <w:pPr>
              <w:rPr>
                <w:rFonts w:ascii="Times New Roman CYR" w:hAnsi="Times New Roman CYR" w:cs="Times New Roman CYR"/>
                <w:sz w:val="20"/>
                <w:szCs w:val="20"/>
              </w:rPr>
            </w:pPr>
          </w:p>
        </w:tc>
        <w:tc>
          <w:tcPr>
            <w:tcW w:w="329" w:type="dxa"/>
            <w:tcBorders>
              <w:top w:val="nil"/>
              <w:left w:val="nil"/>
              <w:bottom w:val="nil"/>
              <w:right w:val="nil"/>
            </w:tcBorders>
          </w:tcPr>
          <w:p w14:paraId="427742C6" w14:textId="77777777" w:rsidR="00000000" w:rsidRDefault="00000000">
            <w:pPr>
              <w:rPr>
                <w:rFonts w:ascii="Times New Roman CYR" w:hAnsi="Times New Roman CYR" w:cs="Times New Roman CYR"/>
                <w:sz w:val="20"/>
                <w:szCs w:val="20"/>
              </w:rPr>
            </w:pPr>
          </w:p>
        </w:tc>
        <w:tc>
          <w:tcPr>
            <w:tcW w:w="1483" w:type="dxa"/>
            <w:tcBorders>
              <w:top w:val="nil"/>
              <w:left w:val="nil"/>
              <w:bottom w:val="nil"/>
              <w:right w:val="nil"/>
            </w:tcBorders>
          </w:tcPr>
          <w:p w14:paraId="74498EC0" w14:textId="77777777" w:rsidR="00000000" w:rsidRDefault="00000000">
            <w:pPr>
              <w:rPr>
                <w:rFonts w:ascii="Times New Roman CYR" w:hAnsi="Times New Roman CYR" w:cs="Times New Roman CYR"/>
                <w:sz w:val="20"/>
                <w:szCs w:val="20"/>
              </w:rPr>
            </w:pPr>
          </w:p>
        </w:tc>
      </w:tr>
      <w:tr w:rsidR="00000000" w14:paraId="36F11FB6" w14:textId="77777777">
        <w:tblPrEx>
          <w:tblCellMar>
            <w:top w:w="0" w:type="dxa"/>
            <w:bottom w:w="0" w:type="dxa"/>
          </w:tblCellMar>
        </w:tblPrEx>
        <w:tc>
          <w:tcPr>
            <w:tcW w:w="2593" w:type="dxa"/>
            <w:tcBorders>
              <w:top w:val="nil"/>
              <w:left w:val="nil"/>
              <w:bottom w:val="nil"/>
              <w:right w:val="nil"/>
            </w:tcBorders>
          </w:tcPr>
          <w:p w14:paraId="3ADC09D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потенциальная кислотность</w:t>
            </w:r>
          </w:p>
        </w:tc>
        <w:tc>
          <w:tcPr>
            <w:tcW w:w="395" w:type="dxa"/>
            <w:tcBorders>
              <w:top w:val="nil"/>
              <w:left w:val="nil"/>
              <w:bottom w:val="nil"/>
              <w:right w:val="nil"/>
            </w:tcBorders>
          </w:tcPr>
          <w:p w14:paraId="26720ABF" w14:textId="77777777" w:rsidR="00000000" w:rsidRDefault="00000000">
            <w:pPr>
              <w:rPr>
                <w:rFonts w:ascii="Times New Roman CYR" w:hAnsi="Times New Roman CYR" w:cs="Times New Roman CYR"/>
                <w:sz w:val="20"/>
                <w:szCs w:val="20"/>
              </w:rPr>
            </w:pPr>
          </w:p>
        </w:tc>
        <w:tc>
          <w:tcPr>
            <w:tcW w:w="2084" w:type="dxa"/>
            <w:tcBorders>
              <w:top w:val="nil"/>
              <w:left w:val="nil"/>
              <w:bottom w:val="nil"/>
              <w:right w:val="nil"/>
            </w:tcBorders>
          </w:tcPr>
          <w:p w14:paraId="0012F71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активная кислотность</w:t>
            </w:r>
          </w:p>
        </w:tc>
        <w:tc>
          <w:tcPr>
            <w:tcW w:w="329" w:type="dxa"/>
            <w:tcBorders>
              <w:top w:val="nil"/>
              <w:left w:val="nil"/>
              <w:bottom w:val="nil"/>
              <w:right w:val="nil"/>
            </w:tcBorders>
          </w:tcPr>
          <w:p w14:paraId="729ED013" w14:textId="77777777" w:rsidR="00000000" w:rsidRDefault="00000000">
            <w:pPr>
              <w:rPr>
                <w:rFonts w:ascii="Times New Roman CYR" w:hAnsi="Times New Roman CYR" w:cs="Times New Roman CYR"/>
                <w:sz w:val="20"/>
                <w:szCs w:val="20"/>
              </w:rPr>
            </w:pPr>
          </w:p>
        </w:tc>
        <w:tc>
          <w:tcPr>
            <w:tcW w:w="1483" w:type="dxa"/>
            <w:tcBorders>
              <w:top w:val="nil"/>
              <w:left w:val="nil"/>
              <w:bottom w:val="nil"/>
              <w:right w:val="nil"/>
            </w:tcBorders>
          </w:tcPr>
          <w:p w14:paraId="51A1601D" w14:textId="77777777" w:rsidR="00000000" w:rsidRDefault="00000000">
            <w:pPr>
              <w:rPr>
                <w:rFonts w:ascii="Times New Roman CYR" w:hAnsi="Times New Roman CYR" w:cs="Times New Roman CYR"/>
                <w:sz w:val="20"/>
                <w:szCs w:val="20"/>
              </w:rPr>
            </w:pPr>
          </w:p>
        </w:tc>
      </w:tr>
      <w:tr w:rsidR="00000000" w14:paraId="08996F1E" w14:textId="77777777">
        <w:tblPrEx>
          <w:tblCellMar>
            <w:top w:w="0" w:type="dxa"/>
            <w:bottom w:w="0" w:type="dxa"/>
          </w:tblCellMar>
        </w:tblPrEx>
        <w:tc>
          <w:tcPr>
            <w:tcW w:w="2593" w:type="dxa"/>
            <w:tcBorders>
              <w:top w:val="nil"/>
              <w:left w:val="nil"/>
              <w:bottom w:val="nil"/>
              <w:right w:val="nil"/>
            </w:tcBorders>
          </w:tcPr>
          <w:p w14:paraId="5B5A6787" w14:textId="77777777" w:rsidR="00000000" w:rsidRDefault="00000000">
            <w:pPr>
              <w:rPr>
                <w:rFonts w:ascii="Times New Roman CYR" w:hAnsi="Times New Roman CYR" w:cs="Times New Roman CYR"/>
                <w:sz w:val="20"/>
                <w:szCs w:val="20"/>
              </w:rPr>
            </w:pPr>
          </w:p>
        </w:tc>
        <w:tc>
          <w:tcPr>
            <w:tcW w:w="395" w:type="dxa"/>
            <w:tcBorders>
              <w:top w:val="nil"/>
              <w:left w:val="nil"/>
              <w:bottom w:val="nil"/>
              <w:right w:val="nil"/>
            </w:tcBorders>
          </w:tcPr>
          <w:p w14:paraId="36427ACA" w14:textId="77777777" w:rsidR="00000000" w:rsidRDefault="00000000">
            <w:pPr>
              <w:rPr>
                <w:rFonts w:ascii="Times New Roman CYR" w:hAnsi="Times New Roman CYR" w:cs="Times New Roman CYR"/>
                <w:sz w:val="20"/>
                <w:szCs w:val="20"/>
              </w:rPr>
            </w:pPr>
          </w:p>
        </w:tc>
        <w:tc>
          <w:tcPr>
            <w:tcW w:w="2084" w:type="dxa"/>
            <w:tcBorders>
              <w:top w:val="nil"/>
              <w:left w:val="nil"/>
              <w:bottom w:val="nil"/>
              <w:right w:val="nil"/>
            </w:tcBorders>
          </w:tcPr>
          <w:p w14:paraId="2F6D5B92" w14:textId="77777777" w:rsidR="00000000" w:rsidRDefault="00000000">
            <w:pPr>
              <w:rPr>
                <w:rFonts w:ascii="Times New Roman CYR" w:hAnsi="Times New Roman CYR" w:cs="Times New Roman CYR"/>
                <w:sz w:val="20"/>
                <w:szCs w:val="20"/>
              </w:rPr>
            </w:pPr>
          </w:p>
        </w:tc>
        <w:tc>
          <w:tcPr>
            <w:tcW w:w="329" w:type="dxa"/>
            <w:tcBorders>
              <w:top w:val="nil"/>
              <w:left w:val="nil"/>
              <w:bottom w:val="nil"/>
              <w:right w:val="nil"/>
            </w:tcBorders>
          </w:tcPr>
          <w:p w14:paraId="115EAEC2" w14:textId="77777777" w:rsidR="00000000" w:rsidRDefault="00000000">
            <w:pPr>
              <w:rPr>
                <w:rFonts w:ascii="Times New Roman CYR" w:hAnsi="Times New Roman CYR" w:cs="Times New Roman CYR"/>
                <w:sz w:val="20"/>
                <w:szCs w:val="20"/>
              </w:rPr>
            </w:pPr>
          </w:p>
        </w:tc>
        <w:tc>
          <w:tcPr>
            <w:tcW w:w="1483" w:type="dxa"/>
            <w:tcBorders>
              <w:top w:val="nil"/>
              <w:left w:val="nil"/>
              <w:bottom w:val="nil"/>
              <w:right w:val="nil"/>
            </w:tcBorders>
          </w:tcPr>
          <w:p w14:paraId="7862FD39" w14:textId="77777777" w:rsidR="00000000" w:rsidRDefault="00000000">
            <w:pPr>
              <w:rPr>
                <w:rFonts w:ascii="Times New Roman CYR" w:hAnsi="Times New Roman CYR" w:cs="Times New Roman CYR"/>
                <w:sz w:val="20"/>
                <w:szCs w:val="20"/>
              </w:rPr>
            </w:pPr>
          </w:p>
        </w:tc>
      </w:tr>
      <w:tr w:rsidR="00000000" w14:paraId="73F7E410" w14:textId="77777777">
        <w:tblPrEx>
          <w:tblCellMar>
            <w:top w:w="0" w:type="dxa"/>
            <w:bottom w:w="0" w:type="dxa"/>
          </w:tblCellMar>
        </w:tblPrEx>
        <w:tc>
          <w:tcPr>
            <w:tcW w:w="5401" w:type="dxa"/>
            <w:gridSpan w:val="4"/>
            <w:tcBorders>
              <w:top w:val="nil"/>
              <w:left w:val="nil"/>
              <w:bottom w:val="nil"/>
              <w:right w:val="nil"/>
            </w:tcBorders>
          </w:tcPr>
          <w:p w14:paraId="01488BA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общая кислотность</w:t>
            </w:r>
          </w:p>
        </w:tc>
        <w:tc>
          <w:tcPr>
            <w:tcW w:w="1483" w:type="dxa"/>
            <w:tcBorders>
              <w:top w:val="nil"/>
              <w:left w:val="nil"/>
              <w:bottom w:val="nil"/>
              <w:right w:val="nil"/>
            </w:tcBorders>
          </w:tcPr>
          <w:p w14:paraId="5722FAAF" w14:textId="77777777" w:rsidR="00000000" w:rsidRDefault="00000000">
            <w:pPr>
              <w:rPr>
                <w:rFonts w:ascii="Times New Roman CYR" w:hAnsi="Times New Roman CYR" w:cs="Times New Roman CYR"/>
                <w:sz w:val="20"/>
                <w:szCs w:val="20"/>
              </w:rPr>
            </w:pPr>
          </w:p>
        </w:tc>
      </w:tr>
    </w:tbl>
    <w:p w14:paraId="07F532FA" w14:textId="77777777" w:rsidR="00000000" w:rsidRDefault="00000000">
      <w:pPr>
        <w:spacing w:line="360" w:lineRule="auto"/>
        <w:ind w:firstLine="709"/>
        <w:jc w:val="both"/>
        <w:rPr>
          <w:rFonts w:ascii="Times New Roman CYR" w:hAnsi="Times New Roman CYR" w:cs="Times New Roman CYR"/>
          <w:sz w:val="28"/>
          <w:szCs w:val="28"/>
        </w:rPr>
      </w:pPr>
    </w:p>
    <w:p w14:paraId="64B1495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аналогии с растворами слабых кислот в растворах слабых оснований можно также различать активную и потенциальную щелочность.</w:t>
      </w:r>
    </w:p>
    <w:p w14:paraId="00580C2B" w14:textId="77777777" w:rsidR="00000000" w:rsidRDefault="00000000">
      <w:pPr>
        <w:spacing w:line="360" w:lineRule="auto"/>
        <w:ind w:firstLine="709"/>
        <w:jc w:val="both"/>
        <w:rPr>
          <w:rFonts w:ascii="Times New Roman CYR" w:hAnsi="Times New Roman CYR" w:cs="Times New Roman CYR"/>
          <w:sz w:val="28"/>
          <w:szCs w:val="28"/>
        </w:rPr>
      </w:pPr>
    </w:p>
    <w:p w14:paraId="4CD77482" w14:textId="77777777" w:rsidR="00000000" w:rsidRDefault="00000000">
      <w:pPr>
        <w:pStyle w:val="3"/>
        <w:keepNext/>
        <w:suppressAutoHyphens/>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Механизм действия буферных систем</w:t>
      </w:r>
    </w:p>
    <w:p w14:paraId="009D837C" w14:textId="77777777" w:rsidR="00000000" w:rsidRDefault="00000000">
      <w:pPr>
        <w:spacing w:line="360" w:lineRule="auto"/>
        <w:ind w:firstLine="709"/>
        <w:jc w:val="both"/>
        <w:rPr>
          <w:rFonts w:ascii="Times New Roman CYR" w:hAnsi="Times New Roman CYR" w:cs="Times New Roman CYR"/>
          <w:sz w:val="28"/>
          <w:szCs w:val="28"/>
        </w:rPr>
      </w:pPr>
    </w:p>
    <w:p w14:paraId="35C9EF42" w14:textId="77777777" w:rsidR="00000000" w:rsidRDefault="00000000">
      <w:pPr>
        <w:spacing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rPr>
        <w:t xml:space="preserve">Сущность буферного действия смеси слабой кислоты с ее солью можно рассмотреть на примере ацетатного буферного раствора. При добавлении к нему сильной кислоты (например, </w:t>
      </w:r>
      <w:r>
        <w:rPr>
          <w:rFonts w:ascii="Times New Roman CYR" w:hAnsi="Times New Roman CYR" w:cs="Times New Roman CYR"/>
          <w:sz w:val="28"/>
          <w:szCs w:val="28"/>
          <w:lang w:val="en-US"/>
        </w:rPr>
        <w:t>HCl</w:t>
      </w:r>
      <w:r>
        <w:rPr>
          <w:rFonts w:ascii="Times New Roman CYR" w:hAnsi="Times New Roman CYR" w:cs="Times New Roman CYR"/>
          <w:sz w:val="28"/>
          <w:szCs w:val="28"/>
        </w:rPr>
        <w:t>) происходит реакция:</w:t>
      </w:r>
    </w:p>
    <w:p w14:paraId="1EEC8E3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COONa + HCl = NaCl + CH</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COOH- </w:t>
      </w:r>
      <w:r>
        <w:rPr>
          <w:rFonts w:ascii="Times New Roman CYR" w:hAnsi="Times New Roman CYR" w:cs="Times New Roman CYR"/>
          <w:sz w:val="28"/>
          <w:szCs w:val="28"/>
        </w:rPr>
        <w:t>молекулярное</w:t>
      </w:r>
      <w:r>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уравнение</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Na</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H</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Cl</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Na</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Cl</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CH</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COOH- </w:t>
      </w:r>
      <w:r>
        <w:rPr>
          <w:rFonts w:ascii="Times New Roman CYR" w:hAnsi="Times New Roman CYR" w:cs="Times New Roman CYR"/>
          <w:sz w:val="28"/>
          <w:szCs w:val="28"/>
        </w:rPr>
        <w:t>полное</w:t>
      </w:r>
      <w:r>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ионное</w:t>
      </w:r>
      <w:r>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уравнение</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COOH</w:t>
      </w:r>
      <w:r>
        <w:rPr>
          <w:rFonts w:ascii="Times New Roman CYR" w:hAnsi="Times New Roman CYR" w:cs="Times New Roman CYR"/>
          <w:sz w:val="28"/>
          <w:szCs w:val="28"/>
        </w:rPr>
        <w:t>- сокращенное ионное уравнение</w:t>
      </w:r>
    </w:p>
    <w:p w14:paraId="7417E396" w14:textId="77777777" w:rsidR="00000000" w:rsidRDefault="00000000">
      <w:pPr>
        <w:spacing w:line="360" w:lineRule="auto"/>
        <w:ind w:firstLine="709"/>
        <w:jc w:val="both"/>
        <w:rPr>
          <w:rFonts w:ascii="Times New Roman CYR" w:hAnsi="Times New Roman CYR" w:cs="Times New Roman CYR"/>
          <w:sz w:val="28"/>
          <w:szCs w:val="28"/>
        </w:rPr>
      </w:pPr>
    </w:p>
    <w:p w14:paraId="5382E00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результате этого воздействия сильная кислота замещается на эквивалентное количество плохо диссоциированной слабой кислоты буферной системы, поэтому концентрация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в растворе существенно не изменяется. Пока солевая компонента буферной системы не расходуется в данной реакции раствор в той или иной степени будет сохранять свое буферное действие. </w:t>
      </w:r>
    </w:p>
    <w:p w14:paraId="5ED8A9E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добавлении к буферной смеси сильного основания происходит реакция: В результате сильное основание замещается на эквивалентное количество нейтральной соли буферной системы, поэтому концентрация ионов водорода в ней опять изменится незначительно.</w:t>
      </w:r>
    </w:p>
    <w:p w14:paraId="38FBFD4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Буферное действие раствора при этом будет наблюдаться пока полностью не расходуется слабая кислота.</w:t>
      </w:r>
    </w:p>
    <w:p w14:paraId="36317E1E" w14:textId="77777777" w:rsidR="00000000" w:rsidRDefault="00000000">
      <w:pPr>
        <w:spacing w:line="360" w:lineRule="auto"/>
        <w:ind w:firstLine="709"/>
        <w:jc w:val="both"/>
        <w:rPr>
          <w:rFonts w:ascii="Times New Roman CYR" w:hAnsi="Times New Roman CYR" w:cs="Times New Roman CYR"/>
          <w:sz w:val="28"/>
          <w:szCs w:val="28"/>
        </w:rPr>
      </w:pPr>
    </w:p>
    <w:p w14:paraId="23C0042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COOH</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NaOH</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COONa</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молекулярное уравнение</w:t>
      </w:r>
    </w:p>
    <w:p w14:paraId="186B983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COOH</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полное ионное уравнение</w:t>
      </w:r>
    </w:p>
    <w:p w14:paraId="72BC611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w:t>
      </w:r>
      <w:r>
        <w:rPr>
          <w:rFonts w:ascii="Times New Roman CYR" w:hAnsi="Times New Roman CYR" w:cs="Times New Roman CYR"/>
          <w:sz w:val="28"/>
          <w:szCs w:val="28"/>
        </w:rPr>
        <w:t xml:space="preserve">Н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сокращенное ионное уравнение</w:t>
      </w:r>
    </w:p>
    <w:p w14:paraId="3FE5454F" w14:textId="77777777" w:rsidR="00000000" w:rsidRDefault="00000000">
      <w:pPr>
        <w:spacing w:line="360" w:lineRule="auto"/>
        <w:ind w:firstLine="709"/>
        <w:jc w:val="both"/>
        <w:rPr>
          <w:rFonts w:ascii="Times New Roman CYR" w:hAnsi="Times New Roman CYR" w:cs="Times New Roman CYR"/>
          <w:sz w:val="28"/>
          <w:szCs w:val="28"/>
        </w:rPr>
      </w:pPr>
    </w:p>
    <w:p w14:paraId="59A0CA1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Если к буферному раствору попеременно добавлять в небольших количествах сильную кислоту или щелочь, то его буферное действие сможет сохраняться более длительное время, т.к. в результате протекающих реакций буферная система будет периодически восстанавливать свой первоначальный количественный и качественный состав.</w:t>
      </w:r>
    </w:p>
    <w:p w14:paraId="08754E1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Для кислотной буферной системы, образованной двумя солями механизм действия будет аналогичным. Рассмотрим его на примере фосфатного буфера: </w:t>
      </w:r>
      <w:r>
        <w:rPr>
          <w:rFonts w:ascii="Times New Roman CYR" w:hAnsi="Times New Roman CYR" w:cs="Times New Roman CYR"/>
          <w:sz w:val="28"/>
          <w:szCs w:val="28"/>
          <w:lang w:val="en-US"/>
        </w:rPr>
        <w:t>NaH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w:t>
      </w:r>
    </w:p>
    <w:p w14:paraId="17408BC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Добавленная к нему сильная кислота провзаимодействует с солевой компонентой системы и заместится на эквивалентное количество компоненты, играющей роль слабой кислоты.</w:t>
      </w:r>
    </w:p>
    <w:p w14:paraId="223E8A6A" w14:textId="77777777" w:rsidR="00000000" w:rsidRDefault="00000000">
      <w:pPr>
        <w:spacing w:line="360" w:lineRule="auto"/>
        <w:ind w:firstLine="709"/>
        <w:jc w:val="both"/>
        <w:rPr>
          <w:rFonts w:ascii="Times New Roman CYR" w:hAnsi="Times New Roman CYR" w:cs="Times New Roman CYR"/>
          <w:sz w:val="28"/>
          <w:szCs w:val="28"/>
        </w:rPr>
      </w:pPr>
    </w:p>
    <w:p w14:paraId="5450BE6D" w14:textId="77777777" w:rsidR="00000000" w:rsidRDefault="00000000">
      <w:pPr>
        <w:spacing w:line="360" w:lineRule="auto"/>
        <w:ind w:firstLine="709"/>
        <w:rPr>
          <w:rFonts w:ascii="Times New Roman CYR" w:hAnsi="Times New Roman CYR" w:cs="Times New Roman CYR"/>
          <w:sz w:val="28"/>
          <w:szCs w:val="28"/>
        </w:rPr>
      </w:pP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HCl</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NaCl</w:t>
      </w:r>
      <w:r>
        <w:rPr>
          <w:rFonts w:ascii="Times New Roman CYR" w:hAnsi="Times New Roman CYR" w:cs="Times New Roman CYR"/>
          <w:sz w:val="28"/>
          <w:szCs w:val="28"/>
        </w:rPr>
        <w:t>- молекулярное уравнение</w:t>
      </w:r>
    </w:p>
    <w:p w14:paraId="38A6451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2</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2</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полное ионное уравнение</w:t>
      </w:r>
    </w:p>
    <w:p w14:paraId="5DB5A05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сокращенное ионное уравнение</w:t>
      </w:r>
    </w:p>
    <w:p w14:paraId="1BD4A4F6" w14:textId="77777777" w:rsidR="00000000" w:rsidRDefault="00000000">
      <w:pPr>
        <w:spacing w:line="360" w:lineRule="auto"/>
        <w:ind w:firstLine="709"/>
        <w:jc w:val="both"/>
        <w:rPr>
          <w:rFonts w:ascii="Times New Roman CYR" w:hAnsi="Times New Roman CYR" w:cs="Times New Roman CYR"/>
          <w:sz w:val="28"/>
          <w:szCs w:val="28"/>
        </w:rPr>
      </w:pPr>
    </w:p>
    <w:p w14:paraId="47C9412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Внесенная щелочь, наоборот, заместится на эквивалентное количество нейтральной солевой компоненты буфера:</w:t>
      </w:r>
    </w:p>
    <w:p w14:paraId="0ED5D342" w14:textId="77777777" w:rsidR="00000000" w:rsidRDefault="00000000">
      <w:pPr>
        <w:spacing w:line="360" w:lineRule="auto"/>
        <w:ind w:firstLine="709"/>
        <w:jc w:val="both"/>
        <w:rPr>
          <w:rFonts w:ascii="Times New Roman CYR" w:hAnsi="Times New Roman CYR" w:cs="Times New Roman CYR"/>
          <w:sz w:val="28"/>
          <w:szCs w:val="28"/>
        </w:rPr>
      </w:pPr>
    </w:p>
    <w:p w14:paraId="3C164D2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NaH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NaOH</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молекулярное уравнение</w:t>
      </w:r>
    </w:p>
    <w:p w14:paraId="3E9A2077"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2</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полное ионное уравнение</w:t>
      </w:r>
    </w:p>
    <w:p w14:paraId="39DC4C8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сокращенное ионное уравнение</w:t>
      </w:r>
    </w:p>
    <w:p w14:paraId="53707B9B" w14:textId="77777777" w:rsidR="00000000" w:rsidRDefault="00000000">
      <w:pPr>
        <w:spacing w:line="360" w:lineRule="auto"/>
        <w:ind w:firstLine="709"/>
        <w:jc w:val="both"/>
        <w:rPr>
          <w:rFonts w:ascii="Times New Roman CYR" w:hAnsi="Times New Roman CYR" w:cs="Times New Roman CYR"/>
          <w:sz w:val="28"/>
          <w:szCs w:val="28"/>
        </w:rPr>
      </w:pPr>
    </w:p>
    <w:p w14:paraId="1D42DBB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Механизм действия основных буферных систем рассмотрим на примере аммиачного буфера. Добавленная к нему сильная кислота провзаимодействует со слабым основанием и заместится на эквивалентное количество солевой компоненты буфера:</w:t>
      </w:r>
    </w:p>
    <w:p w14:paraId="28F4300F" w14:textId="77777777" w:rsidR="00000000" w:rsidRDefault="00000000">
      <w:pPr>
        <w:spacing w:line="360" w:lineRule="auto"/>
        <w:ind w:firstLine="709"/>
        <w:jc w:val="both"/>
        <w:rPr>
          <w:rFonts w:ascii="Times New Roman CYR" w:hAnsi="Times New Roman CYR" w:cs="Times New Roman CYR"/>
          <w:sz w:val="28"/>
          <w:szCs w:val="28"/>
        </w:rPr>
      </w:pPr>
    </w:p>
    <w:p w14:paraId="3AE47FD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HCl</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lang w:val="en-US"/>
        </w:rPr>
        <w:t>Cl</w:t>
      </w:r>
      <w:r>
        <w:rPr>
          <w:rFonts w:ascii="Times New Roman CYR" w:hAnsi="Times New Roman CYR" w:cs="Times New Roman CYR"/>
          <w:sz w:val="28"/>
          <w:szCs w:val="28"/>
        </w:rPr>
        <w:t>- молекулярное уравнение</w:t>
      </w:r>
    </w:p>
    <w:p w14:paraId="6B097DD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полное ионное уравнение</w:t>
      </w:r>
    </w:p>
    <w:p w14:paraId="662DDBC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сокращенное ионное уравнение</w:t>
      </w:r>
    </w:p>
    <w:p w14:paraId="08544093" w14:textId="77777777" w:rsidR="00000000" w:rsidRDefault="00000000">
      <w:pPr>
        <w:spacing w:line="360" w:lineRule="auto"/>
        <w:ind w:firstLine="709"/>
        <w:jc w:val="both"/>
        <w:rPr>
          <w:rFonts w:ascii="Times New Roman CYR" w:hAnsi="Times New Roman CYR" w:cs="Times New Roman CYR"/>
          <w:sz w:val="28"/>
          <w:szCs w:val="28"/>
        </w:rPr>
      </w:pPr>
    </w:p>
    <w:p w14:paraId="233E097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Щелочь вступит в реакцию с солью буферной системы и вместо нее образуется эквивалентное количество слабого основания:</w:t>
      </w:r>
    </w:p>
    <w:p w14:paraId="1DFEE232" w14:textId="77777777" w:rsidR="00000000" w:rsidRDefault="00000000">
      <w:pPr>
        <w:spacing w:line="360" w:lineRule="auto"/>
        <w:ind w:firstLine="709"/>
        <w:jc w:val="both"/>
        <w:rPr>
          <w:rFonts w:ascii="Times New Roman CYR" w:hAnsi="Times New Roman CYR" w:cs="Times New Roman CYR"/>
          <w:b/>
          <w:bCs/>
          <w:sz w:val="28"/>
          <w:szCs w:val="28"/>
        </w:rPr>
      </w:pPr>
    </w:p>
    <w:p w14:paraId="56384D3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pl-PL"/>
        </w:rPr>
        <w:t>NH</w:t>
      </w:r>
      <w:r>
        <w:rPr>
          <w:rFonts w:ascii="Times New Roman CYR" w:hAnsi="Times New Roman CYR" w:cs="Times New Roman CYR"/>
          <w:sz w:val="28"/>
          <w:szCs w:val="28"/>
          <w:vertAlign w:val="subscript"/>
          <w:lang w:val="pl-PL"/>
        </w:rPr>
        <w:t>4</w:t>
      </w:r>
      <w:r>
        <w:rPr>
          <w:rFonts w:ascii="Times New Roman CYR" w:hAnsi="Times New Roman CYR" w:cs="Times New Roman CYR"/>
          <w:sz w:val="28"/>
          <w:szCs w:val="28"/>
          <w:lang w:val="pl-PL"/>
        </w:rPr>
        <w:t>Cl + NaOH = NH</w:t>
      </w:r>
      <w:r>
        <w:rPr>
          <w:rFonts w:ascii="Times New Roman CYR" w:hAnsi="Times New Roman CYR" w:cs="Times New Roman CYR"/>
          <w:sz w:val="28"/>
          <w:szCs w:val="28"/>
          <w:vertAlign w:val="subscript"/>
          <w:lang w:val="pl-PL"/>
        </w:rPr>
        <w:t xml:space="preserve">3 </w:t>
      </w:r>
      <w:r>
        <w:rPr>
          <w:rFonts w:ascii="Times New Roman CYR" w:hAnsi="Times New Roman CYR" w:cs="Times New Roman CYR"/>
          <w:sz w:val="28"/>
          <w:szCs w:val="28"/>
          <w:lang w:val="pl-PL"/>
        </w:rPr>
        <w:t>+ H</w:t>
      </w:r>
      <w:r>
        <w:rPr>
          <w:rFonts w:ascii="Times New Roman CYR" w:hAnsi="Times New Roman CYR" w:cs="Times New Roman CYR"/>
          <w:sz w:val="28"/>
          <w:szCs w:val="28"/>
          <w:vertAlign w:val="subscript"/>
          <w:lang w:val="pl-PL"/>
        </w:rPr>
        <w:t>2</w:t>
      </w:r>
      <w:r>
        <w:rPr>
          <w:rFonts w:ascii="Times New Roman CYR" w:hAnsi="Times New Roman CYR" w:cs="Times New Roman CYR"/>
          <w:sz w:val="28"/>
          <w:szCs w:val="28"/>
          <w:lang w:val="pl-PL"/>
        </w:rPr>
        <w:t>O + NaCl</w:t>
      </w:r>
      <w:r>
        <w:rPr>
          <w:rFonts w:ascii="Times New Roman CYR" w:hAnsi="Times New Roman CYR" w:cs="Times New Roman CYR"/>
          <w:sz w:val="28"/>
          <w:szCs w:val="28"/>
        </w:rPr>
        <w:t>- молекулярное уравнение</w:t>
      </w:r>
    </w:p>
    <w:p w14:paraId="48F7018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полное ионное уравнение</w:t>
      </w:r>
    </w:p>
    <w:p w14:paraId="4702B45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O</w:t>
      </w:r>
      <w:r>
        <w:rPr>
          <w:rFonts w:ascii="Times New Roman CYR" w:hAnsi="Times New Roman CYR" w:cs="Times New Roman CYR"/>
          <w:sz w:val="28"/>
          <w:szCs w:val="28"/>
        </w:rPr>
        <w:t>- сокращенное ионное уравнение</w:t>
      </w:r>
    </w:p>
    <w:p w14:paraId="4DCD6A10" w14:textId="77777777" w:rsidR="00000000" w:rsidRDefault="00000000">
      <w:pPr>
        <w:spacing w:line="360" w:lineRule="auto"/>
        <w:ind w:firstLine="709"/>
        <w:jc w:val="both"/>
        <w:rPr>
          <w:rFonts w:ascii="Times New Roman CYR" w:hAnsi="Times New Roman CYR" w:cs="Times New Roman CYR"/>
          <w:sz w:val="28"/>
          <w:szCs w:val="28"/>
        </w:rPr>
      </w:pPr>
    </w:p>
    <w:p w14:paraId="5C6AB65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рассмотренные примеры показывают, что буферное действие растворов независимо от их состава обусловлено взаимодействием внесенных в них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или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с соответствующим компонентом буфера. В результате этого происходит их связывание в растворе за счет образования слабодиссоциированного продукта реакции, т.е. (говоря другими словами) перевод в потенциальную кислотность либо основность. Вследствие этого активная кислотность (основность) самой буферной системы существенно не изменяется и остается на первоначальном уровне.</w:t>
      </w:r>
    </w:p>
    <w:p w14:paraId="04E1E8DF" w14:textId="77777777" w:rsidR="00000000" w:rsidRDefault="00000000">
      <w:pPr>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sz w:val="28"/>
          <w:szCs w:val="28"/>
        </w:rPr>
        <w:br w:type="page"/>
      </w:r>
      <w:r>
        <w:rPr>
          <w:rFonts w:ascii="Times New Roman CYR" w:hAnsi="Times New Roman CYR" w:cs="Times New Roman CYR"/>
          <w:b/>
          <w:bCs/>
          <w:sz w:val="28"/>
          <w:szCs w:val="28"/>
        </w:rPr>
        <w:t>Вычисление рН и рОН буферных систем. Уравнение Гендерсона-Гассельбаха</w:t>
      </w:r>
    </w:p>
    <w:p w14:paraId="69AF6E81" w14:textId="77777777" w:rsidR="00000000" w:rsidRDefault="00000000">
      <w:pPr>
        <w:spacing w:line="360" w:lineRule="auto"/>
        <w:ind w:firstLine="709"/>
        <w:jc w:val="both"/>
        <w:rPr>
          <w:rFonts w:ascii="Times New Roman CYR" w:hAnsi="Times New Roman CYR" w:cs="Times New Roman CYR"/>
          <w:b/>
          <w:bCs/>
          <w:sz w:val="28"/>
          <w:szCs w:val="28"/>
        </w:rPr>
      </w:pPr>
    </w:p>
    <w:p w14:paraId="0A2F2D3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Каждая из буферных систем характеризуется определенной присущей ей концентрацией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(активной кислотностью), которую система и стремится сохранить на неизменном уровне при добавлении к ней сильной кислоты либо щелочи. Установим на примере ацетатного буфера факторы, влияющие на величину активной кислотности.</w:t>
      </w:r>
    </w:p>
    <w:p w14:paraId="4EE7905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растворе данной буферной системы происходят следующие реакции электролитической диссоциации:</w:t>
      </w:r>
    </w:p>
    <w:p w14:paraId="249869BD" w14:textId="77777777" w:rsidR="00000000" w:rsidRDefault="00000000">
      <w:pPr>
        <w:spacing w:line="360" w:lineRule="auto"/>
        <w:ind w:firstLine="709"/>
        <w:jc w:val="both"/>
        <w:rPr>
          <w:rFonts w:ascii="Times New Roman CYR" w:hAnsi="Times New Roman CYR" w:cs="Times New Roman CYR"/>
          <w:sz w:val="28"/>
          <w:szCs w:val="28"/>
        </w:rPr>
      </w:pPr>
    </w:p>
    <w:p w14:paraId="061D4A3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COOH </w:t>
      </w:r>
      <w:r>
        <w:rPr>
          <w:rFonts w:ascii="Wingdings 3" w:hAnsi="Wingdings 3" w:cs="Wingdings 3"/>
          <w:sz w:val="28"/>
          <w:szCs w:val="28"/>
          <w:lang w:val="en-US"/>
        </w:rPr>
        <w:t>D</w:t>
      </w:r>
      <w:r>
        <w:rPr>
          <w:rFonts w:ascii="Times New Roman CYR" w:hAnsi="Times New Roman CYR" w:cs="Times New Roman CYR"/>
          <w:sz w:val="28"/>
          <w:szCs w:val="28"/>
          <w:lang w:val="en-US"/>
        </w:rPr>
        <w:t xml:space="preserve"> CH</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lang w:val="en-US"/>
        </w:rPr>
        <w:t xml:space="preserve"> + H</w:t>
      </w:r>
      <w:r>
        <w:rPr>
          <w:rFonts w:ascii="Times New Roman CYR" w:hAnsi="Times New Roman CYR" w:cs="Times New Roman CYR"/>
          <w:sz w:val="28"/>
          <w:szCs w:val="28"/>
          <w:vertAlign w:val="superscript"/>
          <w:lang w:val="en-US"/>
        </w:rPr>
        <w:t>+</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COONa</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perscript"/>
        </w:rPr>
        <w:t>+</w:t>
      </w:r>
    </w:p>
    <w:p w14:paraId="2CB599B8" w14:textId="77777777" w:rsidR="00000000" w:rsidRDefault="00000000">
      <w:pPr>
        <w:spacing w:line="360" w:lineRule="auto"/>
        <w:ind w:firstLine="709"/>
        <w:jc w:val="both"/>
        <w:rPr>
          <w:rFonts w:ascii="Times New Roman CYR" w:hAnsi="Times New Roman CYR" w:cs="Times New Roman CYR"/>
          <w:sz w:val="28"/>
          <w:szCs w:val="28"/>
        </w:rPr>
      </w:pPr>
    </w:p>
    <w:p w14:paraId="4DD6EAF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(Гидролиз соли, т.е. взаимодействие ацетат-ионов с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w:t>
      </w:r>
      <w:r>
        <w:rPr>
          <w:rFonts w:ascii="Times New Roman CYR" w:hAnsi="Times New Roman CYR" w:cs="Times New Roman CYR"/>
          <w:sz w:val="20"/>
          <w:szCs w:val="20"/>
        </w:rPr>
        <w:t xml:space="preserve"> </w:t>
      </w:r>
      <w:r>
        <w:rPr>
          <w:rFonts w:ascii="Times New Roman CYR" w:hAnsi="Times New Roman CYR" w:cs="Times New Roman CYR"/>
          <w:sz w:val="28"/>
          <w:szCs w:val="28"/>
        </w:rPr>
        <w:t>учитывать не будем.)</w:t>
      </w:r>
    </w:p>
    <w:p w14:paraId="49016F6E" w14:textId="77777777" w:rsidR="00000000" w:rsidRDefault="00000000">
      <w:pPr>
        <w:spacing w:line="360" w:lineRule="auto"/>
        <w:ind w:firstLine="709"/>
        <w:jc w:val="both"/>
        <w:rPr>
          <w:rFonts w:ascii="Times New Roman CYR" w:hAnsi="Times New Roman CYR" w:cs="Times New Roman CYR"/>
          <w:sz w:val="28"/>
          <w:szCs w:val="28"/>
        </w:rPr>
      </w:pPr>
    </w:p>
    <w:p w14:paraId="571CBD67"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HOH</w:t>
      </w:r>
      <w:r>
        <w:rPr>
          <w:rFonts w:ascii="Times New Roman CYR" w:hAnsi="Times New Roman CYR" w:cs="Times New Roman CYR"/>
          <w:sz w:val="28"/>
          <w:szCs w:val="28"/>
        </w:rPr>
        <w:t xml:space="preserve"> </w:t>
      </w:r>
      <w:r>
        <w:rPr>
          <w:rFonts w:ascii="Wingdings 3" w:hAnsi="Wingdings 3" w:cs="Wingdings 3"/>
          <w:sz w:val="28"/>
          <w:szCs w:val="28"/>
          <w:lang w:val="en-US"/>
        </w:rPr>
        <w:t>D</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COOH</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p>
    <w:p w14:paraId="049B0E95" w14:textId="77777777" w:rsidR="00000000" w:rsidRDefault="00000000">
      <w:pPr>
        <w:spacing w:line="360" w:lineRule="auto"/>
        <w:ind w:firstLine="709"/>
        <w:jc w:val="both"/>
        <w:rPr>
          <w:rFonts w:ascii="Times New Roman CYR" w:hAnsi="Times New Roman CYR" w:cs="Times New Roman CYR"/>
          <w:sz w:val="28"/>
          <w:szCs w:val="28"/>
        </w:rPr>
      </w:pPr>
    </w:p>
    <w:p w14:paraId="4B8B2EC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ионы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образуются только за счет диссоциации некоторого числа молекул уксусной кислоты. Этот процесс является обратимым и количественно характеризуется константой кислотности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rPr>
        <w:t>а</w:t>
      </w:r>
      <w:r>
        <w:rPr>
          <w:rFonts w:ascii="Times New Roman CYR" w:hAnsi="Times New Roman CYR" w:cs="Times New Roman CYR"/>
          <w:sz w:val="28"/>
          <w:szCs w:val="28"/>
        </w:rPr>
        <w:t>:</w:t>
      </w:r>
    </w:p>
    <w:p w14:paraId="358DD75E" w14:textId="77777777" w:rsidR="00000000" w:rsidRDefault="00000000">
      <w:pPr>
        <w:spacing w:line="360" w:lineRule="auto"/>
        <w:ind w:firstLine="709"/>
        <w:jc w:val="both"/>
        <w:rPr>
          <w:rFonts w:ascii="Times New Roman CYR" w:hAnsi="Times New Roman CYR" w:cs="Times New Roman CYR"/>
          <w:sz w:val="28"/>
          <w:szCs w:val="28"/>
        </w:rPr>
      </w:pPr>
    </w:p>
    <w:p w14:paraId="1D8BF38A" w14:textId="0DCA198C"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6983E896" wp14:editId="1D7788DC">
            <wp:extent cx="1737360" cy="647700"/>
            <wp:effectExtent l="0" t="0" r="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7360" cy="647700"/>
                    </a:xfrm>
                    <a:prstGeom prst="rect">
                      <a:avLst/>
                    </a:prstGeom>
                    <a:noFill/>
                    <a:ln>
                      <a:noFill/>
                    </a:ln>
                  </pic:spPr>
                </pic:pic>
              </a:graphicData>
            </a:graphic>
          </wp:inline>
        </w:drawing>
      </w:r>
    </w:p>
    <w:p w14:paraId="1D0AA610" w14:textId="77777777" w:rsidR="00000000" w:rsidRDefault="00000000">
      <w:pPr>
        <w:ind w:firstLine="709"/>
        <w:rPr>
          <w:rFonts w:ascii="Times New Roman CYR" w:hAnsi="Times New Roman CYR" w:cs="Times New Roman CYR"/>
          <w:sz w:val="28"/>
          <w:szCs w:val="28"/>
        </w:rPr>
      </w:pPr>
    </w:p>
    <w:p w14:paraId="3C917EBE" w14:textId="68DCE992"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где </w:t>
      </w:r>
      <w:r w:rsidR="00491361">
        <w:rPr>
          <w:rFonts w:ascii="Microsoft Sans Serif" w:hAnsi="Microsoft Sans Serif" w:cs="Microsoft Sans Serif"/>
          <w:noProof/>
          <w:sz w:val="17"/>
          <w:szCs w:val="17"/>
        </w:rPr>
        <w:drawing>
          <wp:inline distT="0" distB="0" distL="0" distR="0" wp14:anchorId="047EB463" wp14:editId="55B70237">
            <wp:extent cx="365760" cy="304800"/>
            <wp:effectExtent l="0" t="0" r="0"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 cy="304800"/>
                    </a:xfrm>
                    <a:prstGeom prst="rect">
                      <a:avLst/>
                    </a:prstGeom>
                    <a:noFill/>
                    <a:ln>
                      <a:noFill/>
                    </a:ln>
                  </pic:spPr>
                </pic:pic>
              </a:graphicData>
            </a:graphic>
          </wp:inline>
        </w:drawing>
      </w:r>
      <w:r>
        <w:rPr>
          <w:rFonts w:ascii="Times New Roman CYR" w:hAnsi="Times New Roman CYR" w:cs="Times New Roman CYR"/>
          <w:sz w:val="28"/>
          <w:szCs w:val="28"/>
        </w:rPr>
        <w:t xml:space="preserve"> (или </w:t>
      </w:r>
      <w:r w:rsidR="00491361">
        <w:rPr>
          <w:rFonts w:ascii="Microsoft Sans Serif" w:hAnsi="Microsoft Sans Serif" w:cs="Microsoft Sans Serif"/>
          <w:noProof/>
          <w:sz w:val="17"/>
          <w:szCs w:val="17"/>
        </w:rPr>
        <w:drawing>
          <wp:inline distT="0" distB="0" distL="0" distR="0" wp14:anchorId="0BDAF10A" wp14:editId="24BBD732">
            <wp:extent cx="457200" cy="327660"/>
            <wp:effectExtent l="0" t="0" r="0"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 cy="327660"/>
                    </a:xfrm>
                    <a:prstGeom prst="rect">
                      <a:avLst/>
                    </a:prstGeom>
                    <a:noFill/>
                    <a:ln>
                      <a:noFill/>
                    </a:ln>
                  </pic:spPr>
                </pic:pic>
              </a:graphicData>
            </a:graphic>
          </wp:inline>
        </w:drawing>
      </w:r>
      <w:r>
        <w:rPr>
          <w:rFonts w:ascii="Times New Roman CYR" w:hAnsi="Times New Roman CYR" w:cs="Times New Roman CYR"/>
          <w:sz w:val="28"/>
          <w:szCs w:val="28"/>
        </w:rPr>
        <w:t xml:space="preserve">), </w:t>
      </w:r>
      <w:r w:rsidR="00491361">
        <w:rPr>
          <w:rFonts w:ascii="Microsoft Sans Serif" w:hAnsi="Microsoft Sans Serif" w:cs="Microsoft Sans Serif"/>
          <w:noProof/>
          <w:sz w:val="17"/>
          <w:szCs w:val="17"/>
        </w:rPr>
        <w:drawing>
          <wp:inline distT="0" distB="0" distL="0" distR="0" wp14:anchorId="695DD383" wp14:editId="6E889C4F">
            <wp:extent cx="784860" cy="342900"/>
            <wp:effectExtent l="0" t="0" r="0" b="0"/>
            <wp:docPr id="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4860" cy="342900"/>
                    </a:xfrm>
                    <a:prstGeom prst="rect">
                      <a:avLst/>
                    </a:prstGeom>
                    <a:noFill/>
                    <a:ln>
                      <a:noFill/>
                    </a:ln>
                  </pic:spPr>
                </pic:pic>
              </a:graphicData>
            </a:graphic>
          </wp:inline>
        </w:drawing>
      </w:r>
      <w:r>
        <w:rPr>
          <w:rFonts w:ascii="Times New Roman CYR" w:hAnsi="Times New Roman CYR" w:cs="Times New Roman CYR"/>
          <w:sz w:val="28"/>
          <w:szCs w:val="28"/>
        </w:rPr>
        <w:t xml:space="preserve"> и </w:t>
      </w:r>
      <w:r w:rsidR="00491361">
        <w:rPr>
          <w:rFonts w:ascii="Microsoft Sans Serif" w:hAnsi="Microsoft Sans Serif" w:cs="Microsoft Sans Serif"/>
          <w:noProof/>
          <w:sz w:val="17"/>
          <w:szCs w:val="17"/>
        </w:rPr>
        <w:drawing>
          <wp:inline distT="0" distB="0" distL="0" distR="0" wp14:anchorId="4F884259" wp14:editId="4439B7C0">
            <wp:extent cx="784860" cy="304800"/>
            <wp:effectExtent l="0" t="0" r="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4860" cy="304800"/>
                    </a:xfrm>
                    <a:prstGeom prst="rect">
                      <a:avLst/>
                    </a:prstGeom>
                    <a:noFill/>
                    <a:ln>
                      <a:noFill/>
                    </a:ln>
                  </pic:spPr>
                </pic:pic>
              </a:graphicData>
            </a:graphic>
          </wp:inline>
        </w:drawing>
      </w:r>
      <w:r>
        <w:rPr>
          <w:rFonts w:ascii="Times New Roman CYR" w:hAnsi="Times New Roman CYR" w:cs="Times New Roman CYR"/>
          <w:sz w:val="28"/>
          <w:szCs w:val="28"/>
        </w:rPr>
        <w:t xml:space="preserve"> равновесные молярные концентрации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 непродиссоциированных молекул кислоты.</w:t>
      </w:r>
    </w:p>
    <w:p w14:paraId="34B80B14" w14:textId="7645A77D"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Из данного уравнения можно выразить </w:t>
      </w:r>
      <w:r w:rsidR="00491361">
        <w:rPr>
          <w:rFonts w:ascii="Microsoft Sans Serif" w:hAnsi="Microsoft Sans Serif" w:cs="Microsoft Sans Serif"/>
          <w:noProof/>
          <w:sz w:val="17"/>
          <w:szCs w:val="17"/>
        </w:rPr>
        <w:drawing>
          <wp:inline distT="0" distB="0" distL="0" distR="0" wp14:anchorId="3966308A" wp14:editId="145AB104">
            <wp:extent cx="365760" cy="304800"/>
            <wp:effectExtent l="0" t="0" r="0"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 cy="304800"/>
                    </a:xfrm>
                    <a:prstGeom prst="rect">
                      <a:avLst/>
                    </a:prstGeom>
                    <a:noFill/>
                    <a:ln>
                      <a:noFill/>
                    </a:ln>
                  </pic:spPr>
                </pic:pic>
              </a:graphicData>
            </a:graphic>
          </wp:inline>
        </w:drawing>
      </w:r>
      <w:r>
        <w:rPr>
          <w:rFonts w:ascii="Times New Roman CYR" w:hAnsi="Times New Roman CYR" w:cs="Times New Roman CYR"/>
          <w:sz w:val="28"/>
          <w:szCs w:val="28"/>
        </w:rPr>
        <w:t xml:space="preserve"> или активную кислотность буферной системы:</w:t>
      </w:r>
    </w:p>
    <w:p w14:paraId="138DBFC2" w14:textId="77777777" w:rsidR="00000000" w:rsidRDefault="00000000">
      <w:pPr>
        <w:ind w:firstLine="709"/>
        <w:rPr>
          <w:rFonts w:ascii="Times New Roman CYR" w:hAnsi="Times New Roman CYR" w:cs="Times New Roman CYR"/>
          <w:sz w:val="28"/>
          <w:szCs w:val="28"/>
        </w:rPr>
      </w:pPr>
    </w:p>
    <w:p w14:paraId="40021F83" w14:textId="3AABD201"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206100AA" wp14:editId="330DFCE6">
            <wp:extent cx="1653540" cy="647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3540" cy="647700"/>
                    </a:xfrm>
                    <a:prstGeom prst="rect">
                      <a:avLst/>
                    </a:prstGeom>
                    <a:noFill/>
                    <a:ln>
                      <a:noFill/>
                    </a:ln>
                  </pic:spPr>
                </pic:pic>
              </a:graphicData>
            </a:graphic>
          </wp:inline>
        </w:drawing>
      </w:r>
    </w:p>
    <w:p w14:paraId="2C7FBA9C" w14:textId="77777777" w:rsidR="00000000" w:rsidRDefault="00000000">
      <w:pPr>
        <w:ind w:firstLine="709"/>
        <w:rPr>
          <w:rFonts w:ascii="Times New Roman CYR" w:hAnsi="Times New Roman CYR" w:cs="Times New Roman CYR"/>
          <w:sz w:val="28"/>
          <w:szCs w:val="28"/>
        </w:rPr>
      </w:pPr>
    </w:p>
    <w:p w14:paraId="3B26BA3B"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Кроме уксусной кислоты в растворе присутствует ее соль </w:t>
      </w:r>
      <w:r>
        <w:rPr>
          <w:rFonts w:ascii="Times New Roman CYR" w:hAnsi="Times New Roman CYR" w:cs="Times New Roman CYR"/>
          <w:sz w:val="28"/>
          <w:szCs w:val="28"/>
          <w:lang w:val="en-US"/>
        </w:rPr>
        <w:t>CH</w:t>
      </w:r>
      <w:r>
        <w:rPr>
          <w:rFonts w:ascii="Times New Roman CYR" w:hAnsi="Times New Roman CYR" w:cs="Times New Roman CYR"/>
          <w:sz w:val="28"/>
          <w:szCs w:val="28"/>
          <w:vertAlign w:val="subscript"/>
        </w:rPr>
        <w:t>3</w:t>
      </w:r>
      <w:r>
        <w:rPr>
          <w:rFonts w:ascii="Times New Roman CYR" w:hAnsi="Times New Roman CYR" w:cs="Times New Roman CYR"/>
          <w:sz w:val="28"/>
          <w:szCs w:val="28"/>
          <w:lang w:val="en-US"/>
        </w:rPr>
        <w:t>COONa</w:t>
      </w:r>
      <w:r>
        <w:rPr>
          <w:rFonts w:ascii="Times New Roman CYR" w:hAnsi="Times New Roman CYR" w:cs="Times New Roman CYR"/>
          <w:sz w:val="28"/>
          <w:szCs w:val="28"/>
        </w:rPr>
        <w:t>. Она является сильным электролитом и полностью распадается на ионы. В результате этого концентрация анионов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резко возрастает и согласно принципа Ле-Шателье равновесие реакции диссоциации уксусной кислоты смещается влево, т.е. в сторону образования ее молекул. Причем диссоциация уксусной кислоты в присутствии собственной соли может быть настолько подавленной, что равновесную концентрацию ее нераспавшихся молекул в растворе можно считать равной концентрации СН</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СООН, а равновесную концентрацию ацетат-ионов - исходной концентрации соли. В связи с этим выражение, по которому рассчитывается концентрация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можно записать иначе:</w:t>
      </w:r>
    </w:p>
    <w:p w14:paraId="57C32ED1" w14:textId="77777777" w:rsidR="00000000" w:rsidRDefault="00000000">
      <w:pPr>
        <w:ind w:firstLine="709"/>
        <w:rPr>
          <w:rFonts w:ascii="Times New Roman CYR" w:hAnsi="Times New Roman CYR" w:cs="Times New Roman CYR"/>
          <w:sz w:val="28"/>
          <w:szCs w:val="28"/>
        </w:rPr>
      </w:pPr>
    </w:p>
    <w:p w14:paraId="75E7E968" w14:textId="1E6DA0B8"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44634E21" wp14:editId="6782C287">
            <wp:extent cx="1501140" cy="556260"/>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1140" cy="556260"/>
                    </a:xfrm>
                    <a:prstGeom prst="rect">
                      <a:avLst/>
                    </a:prstGeom>
                    <a:noFill/>
                    <a:ln>
                      <a:noFill/>
                    </a:ln>
                  </pic:spPr>
                </pic:pic>
              </a:graphicData>
            </a:graphic>
          </wp:inline>
        </w:drawing>
      </w:r>
    </w:p>
    <w:p w14:paraId="5CF220AF" w14:textId="77777777" w:rsidR="00000000" w:rsidRDefault="00000000">
      <w:pPr>
        <w:ind w:firstLine="709"/>
        <w:rPr>
          <w:rFonts w:ascii="Times New Roman CYR" w:hAnsi="Times New Roman CYR" w:cs="Times New Roman CYR"/>
          <w:sz w:val="28"/>
          <w:szCs w:val="28"/>
        </w:rPr>
      </w:pPr>
    </w:p>
    <w:p w14:paraId="4FDCB49D"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где С</w:t>
      </w:r>
      <w:r>
        <w:rPr>
          <w:rFonts w:ascii="Times New Roman CYR" w:hAnsi="Times New Roman CYR" w:cs="Times New Roman CYR"/>
          <w:sz w:val="28"/>
          <w:szCs w:val="28"/>
          <w:vertAlign w:val="subscript"/>
        </w:rPr>
        <w:t>кислоты</w:t>
      </w:r>
      <w:r>
        <w:rPr>
          <w:rFonts w:ascii="Times New Roman CYR" w:hAnsi="Times New Roman CYR" w:cs="Times New Roman CYR"/>
          <w:sz w:val="28"/>
          <w:szCs w:val="28"/>
        </w:rPr>
        <w:t xml:space="preserve"> и 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 исходные концентрации компонентов буферной системы.</w:t>
      </w:r>
    </w:p>
    <w:p w14:paraId="6109B91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Прологорифмируем полученное уравнение (с учетом того, что логарифм произведения равен сумме логарифмов сомножителей):</w:t>
      </w:r>
    </w:p>
    <w:p w14:paraId="4D0F4B5A" w14:textId="77777777" w:rsidR="00000000" w:rsidRDefault="00000000">
      <w:pPr>
        <w:ind w:firstLine="709"/>
        <w:rPr>
          <w:rFonts w:ascii="Times New Roman CYR" w:hAnsi="Times New Roman CYR" w:cs="Times New Roman CYR"/>
          <w:sz w:val="28"/>
          <w:szCs w:val="28"/>
        </w:rPr>
      </w:pPr>
    </w:p>
    <w:p w14:paraId="5ECA8FEA" w14:textId="4A5C7D28"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30B90FB2" wp14:editId="74C1D02E">
            <wp:extent cx="2209800" cy="556260"/>
            <wp:effectExtent l="0" t="0" r="0" b="0"/>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0" cy="556260"/>
                    </a:xfrm>
                    <a:prstGeom prst="rect">
                      <a:avLst/>
                    </a:prstGeom>
                    <a:noFill/>
                    <a:ln>
                      <a:noFill/>
                    </a:ln>
                  </pic:spPr>
                </pic:pic>
              </a:graphicData>
            </a:graphic>
          </wp:inline>
        </w:drawing>
      </w:r>
    </w:p>
    <w:p w14:paraId="1BFFE425"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br w:type="page"/>
        <w:t>и умножим обе его части на -1:</w:t>
      </w:r>
    </w:p>
    <w:p w14:paraId="42E014A4" w14:textId="77777777" w:rsidR="00000000" w:rsidRDefault="00000000">
      <w:pPr>
        <w:ind w:firstLine="709"/>
        <w:rPr>
          <w:rFonts w:ascii="Times New Roman CYR" w:hAnsi="Times New Roman CYR" w:cs="Times New Roman CYR"/>
          <w:sz w:val="28"/>
          <w:szCs w:val="28"/>
        </w:rPr>
      </w:pPr>
    </w:p>
    <w:p w14:paraId="2984B012" w14:textId="57776E03"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469BF2FC" wp14:editId="5505B82D">
            <wp:extent cx="2499360" cy="556260"/>
            <wp:effectExtent l="0" t="0" r="0" b="0"/>
            <wp:docPr id="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9360" cy="556260"/>
                    </a:xfrm>
                    <a:prstGeom prst="rect">
                      <a:avLst/>
                    </a:prstGeom>
                    <a:noFill/>
                    <a:ln>
                      <a:noFill/>
                    </a:ln>
                  </pic:spPr>
                </pic:pic>
              </a:graphicData>
            </a:graphic>
          </wp:inline>
        </w:drawing>
      </w:r>
    </w:p>
    <w:p w14:paraId="626369DE" w14:textId="77777777" w:rsidR="00000000" w:rsidRDefault="00000000">
      <w:pPr>
        <w:ind w:firstLine="709"/>
        <w:rPr>
          <w:rFonts w:ascii="Times New Roman CYR" w:hAnsi="Times New Roman CYR" w:cs="Times New Roman CYR"/>
          <w:sz w:val="28"/>
          <w:szCs w:val="28"/>
        </w:rPr>
      </w:pPr>
    </w:p>
    <w:p w14:paraId="1AE166DB"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Как было показано нами ранее</w:t>
      </w:r>
    </w:p>
    <w:p w14:paraId="5433A70A" w14:textId="77777777" w:rsidR="00000000" w:rsidRDefault="00000000">
      <w:pPr>
        <w:ind w:firstLine="709"/>
        <w:rPr>
          <w:rFonts w:ascii="Times New Roman CYR" w:hAnsi="Times New Roman CYR" w:cs="Times New Roman CYR"/>
          <w:sz w:val="28"/>
          <w:szCs w:val="28"/>
        </w:rPr>
      </w:pPr>
    </w:p>
    <w:p w14:paraId="5C9C0F69" w14:textId="11358B53"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67C586C9" wp14:editId="25142754">
            <wp:extent cx="1181100" cy="304800"/>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1100" cy="304800"/>
                    </a:xfrm>
                    <a:prstGeom prst="rect">
                      <a:avLst/>
                    </a:prstGeom>
                    <a:noFill/>
                    <a:ln>
                      <a:noFill/>
                    </a:ln>
                  </pic:spPr>
                </pic:pic>
              </a:graphicData>
            </a:graphic>
          </wp:inline>
        </w:drawing>
      </w:r>
      <w:r w:rsidR="00000000">
        <w:rPr>
          <w:rFonts w:ascii="Times New Roman CYR" w:hAnsi="Times New Roman CYR" w:cs="Times New Roman CYR"/>
          <w:sz w:val="28"/>
          <w:szCs w:val="28"/>
        </w:rPr>
        <w:t xml:space="preserve">, </w:t>
      </w:r>
      <w:r w:rsidR="00000000">
        <w:rPr>
          <w:rFonts w:ascii="Times New Roman CYR" w:hAnsi="Times New Roman CYR" w:cs="Times New Roman CYR"/>
          <w:sz w:val="28"/>
          <w:szCs w:val="28"/>
          <w:lang w:val="en-US"/>
        </w:rPr>
        <w:t>a</w:t>
      </w:r>
      <w:r w:rsidR="00000000">
        <w:rPr>
          <w:rFonts w:ascii="Times New Roman CYR" w:hAnsi="Times New Roman CYR" w:cs="Times New Roman CYR"/>
          <w:sz w:val="28"/>
          <w:szCs w:val="28"/>
        </w:rPr>
        <w:t xml:space="preserve"> </w:t>
      </w:r>
      <w:r>
        <w:rPr>
          <w:rFonts w:ascii="Microsoft Sans Serif" w:hAnsi="Microsoft Sans Serif" w:cs="Microsoft Sans Serif"/>
          <w:noProof/>
          <w:sz w:val="17"/>
          <w:szCs w:val="17"/>
        </w:rPr>
        <w:drawing>
          <wp:inline distT="0" distB="0" distL="0" distR="0" wp14:anchorId="1FD0B3AC" wp14:editId="222B29BF">
            <wp:extent cx="1158240" cy="281940"/>
            <wp:effectExtent l="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8240" cy="281940"/>
                    </a:xfrm>
                    <a:prstGeom prst="rect">
                      <a:avLst/>
                    </a:prstGeom>
                    <a:noFill/>
                    <a:ln>
                      <a:noFill/>
                    </a:ln>
                  </pic:spPr>
                </pic:pic>
              </a:graphicData>
            </a:graphic>
          </wp:inline>
        </w:drawing>
      </w:r>
    </w:p>
    <w:p w14:paraId="6A0814BF" w14:textId="77777777" w:rsidR="00000000" w:rsidRDefault="00000000">
      <w:pPr>
        <w:ind w:firstLine="709"/>
        <w:rPr>
          <w:rFonts w:ascii="Times New Roman CYR" w:hAnsi="Times New Roman CYR" w:cs="Times New Roman CYR"/>
          <w:sz w:val="28"/>
          <w:szCs w:val="28"/>
        </w:rPr>
      </w:pPr>
    </w:p>
    <w:p w14:paraId="5310C8EA"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В связи с этим запишем уравнение для расчета концентрации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в окончательном виде:</w:t>
      </w:r>
    </w:p>
    <w:p w14:paraId="45F89791" w14:textId="77777777" w:rsidR="00000000" w:rsidRDefault="00000000">
      <w:pPr>
        <w:ind w:firstLine="709"/>
        <w:rPr>
          <w:rFonts w:ascii="Times New Roman CYR" w:hAnsi="Times New Roman CYR" w:cs="Times New Roman CYR"/>
          <w:sz w:val="28"/>
          <w:szCs w:val="28"/>
        </w:rPr>
      </w:pPr>
    </w:p>
    <w:p w14:paraId="6CDB785B" w14:textId="5F46C082"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2489A17B" wp14:editId="48E6F4B6">
            <wp:extent cx="1866900" cy="556260"/>
            <wp:effectExtent l="0" t="0" r="0"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6900" cy="556260"/>
                    </a:xfrm>
                    <a:prstGeom prst="rect">
                      <a:avLst/>
                    </a:prstGeom>
                    <a:noFill/>
                    <a:ln>
                      <a:noFill/>
                    </a:ln>
                  </pic:spPr>
                </pic:pic>
              </a:graphicData>
            </a:graphic>
          </wp:inline>
        </w:drawing>
      </w:r>
    </w:p>
    <w:p w14:paraId="3AA51D5D" w14:textId="77777777" w:rsidR="00000000" w:rsidRDefault="00000000">
      <w:pPr>
        <w:ind w:firstLine="709"/>
        <w:rPr>
          <w:rFonts w:ascii="Times New Roman CYR" w:hAnsi="Times New Roman CYR" w:cs="Times New Roman CYR"/>
          <w:sz w:val="28"/>
          <w:szCs w:val="28"/>
        </w:rPr>
      </w:pPr>
    </w:p>
    <w:p w14:paraId="6B645E9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Данное выражение называется иначе </w:t>
      </w:r>
      <w:r>
        <w:rPr>
          <w:rFonts w:ascii="Times New Roman CYR" w:hAnsi="Times New Roman CYR" w:cs="Times New Roman CYR"/>
          <w:b/>
          <w:bCs/>
          <w:sz w:val="28"/>
          <w:szCs w:val="28"/>
        </w:rPr>
        <w:t>уравнением Гендерсона-Гассельбаха</w:t>
      </w:r>
      <w:r>
        <w:rPr>
          <w:rFonts w:ascii="Times New Roman CYR" w:hAnsi="Times New Roman CYR" w:cs="Times New Roman CYR"/>
          <w:sz w:val="28"/>
          <w:szCs w:val="28"/>
        </w:rPr>
        <w:t>. Его можно использовать для вычисления рН любой кислотной буферной системы. Например, для фосфатного буфера уравнение Гендерсона-Гассельбаха запишется следующим образом:</w:t>
      </w:r>
    </w:p>
    <w:p w14:paraId="048E811C" w14:textId="77777777" w:rsidR="00000000" w:rsidRDefault="00000000">
      <w:pPr>
        <w:ind w:firstLine="709"/>
        <w:rPr>
          <w:rFonts w:ascii="Times New Roman CYR" w:hAnsi="Times New Roman CYR" w:cs="Times New Roman CYR"/>
          <w:sz w:val="28"/>
          <w:szCs w:val="28"/>
        </w:rPr>
      </w:pPr>
    </w:p>
    <w:p w14:paraId="69FBBB27" w14:textId="0968201F"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4F04B6E9" wp14:editId="52E07EAA">
            <wp:extent cx="1981200" cy="609600"/>
            <wp:effectExtent l="0" t="0" r="0" b="0"/>
            <wp:docPr id="2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1200" cy="609600"/>
                    </a:xfrm>
                    <a:prstGeom prst="rect">
                      <a:avLst/>
                    </a:prstGeom>
                    <a:noFill/>
                    <a:ln>
                      <a:noFill/>
                    </a:ln>
                  </pic:spPr>
                </pic:pic>
              </a:graphicData>
            </a:graphic>
          </wp:inline>
        </w:drawing>
      </w:r>
    </w:p>
    <w:p w14:paraId="7947B8E8" w14:textId="77777777" w:rsidR="00000000" w:rsidRDefault="00000000">
      <w:pPr>
        <w:ind w:firstLine="709"/>
        <w:rPr>
          <w:rFonts w:ascii="Times New Roman CYR" w:hAnsi="Times New Roman CYR" w:cs="Times New Roman CYR"/>
          <w:sz w:val="28"/>
          <w:szCs w:val="28"/>
        </w:rPr>
      </w:pPr>
    </w:p>
    <w:p w14:paraId="4F8D9225" w14:textId="57711869"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(в данной системе роль слабой кислоты играет анион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РО</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то </w:t>
      </w:r>
      <w:r w:rsidR="00491361">
        <w:rPr>
          <w:rFonts w:ascii="Microsoft Sans Serif" w:hAnsi="Microsoft Sans Serif" w:cs="Microsoft Sans Serif"/>
          <w:noProof/>
          <w:sz w:val="17"/>
          <w:szCs w:val="17"/>
        </w:rPr>
        <w:drawing>
          <wp:inline distT="0" distB="0" distL="0" distR="0" wp14:anchorId="02E9F093" wp14:editId="5CE4FAA9">
            <wp:extent cx="1965960" cy="320040"/>
            <wp:effectExtent l="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5960" cy="320040"/>
                    </a:xfrm>
                    <a:prstGeom prst="rect">
                      <a:avLst/>
                    </a:prstGeom>
                    <a:noFill/>
                    <a:ln>
                      <a:noFill/>
                    </a:ln>
                  </pic:spPr>
                </pic:pic>
              </a:graphicData>
            </a:graphic>
          </wp:inline>
        </w:drawing>
      </w:r>
      <w:r>
        <w:rPr>
          <w:rFonts w:ascii="Times New Roman CYR" w:hAnsi="Times New Roman CYR" w:cs="Times New Roman CYR"/>
          <w:sz w:val="28"/>
          <w:szCs w:val="28"/>
        </w:rPr>
        <w:t>.</w:t>
      </w:r>
    </w:p>
    <w:p w14:paraId="052C64A5"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В водных растворах рН и рОН являются сопряженными величинами. Их сумма всегда равна 14, т.е.:</w:t>
      </w:r>
    </w:p>
    <w:p w14:paraId="131DC132" w14:textId="77777777" w:rsidR="00000000" w:rsidRDefault="00000000">
      <w:pPr>
        <w:ind w:firstLine="709"/>
        <w:rPr>
          <w:rFonts w:ascii="Times New Roman CYR" w:hAnsi="Times New Roman CYR" w:cs="Times New Roman CYR"/>
          <w:b/>
          <w:bCs/>
          <w:sz w:val="28"/>
          <w:szCs w:val="28"/>
        </w:rPr>
      </w:pPr>
      <w:r>
        <w:rPr>
          <w:rFonts w:ascii="Times New Roman CYR" w:hAnsi="Times New Roman CYR" w:cs="Times New Roman CYR"/>
          <w:b/>
          <w:bCs/>
          <w:sz w:val="28"/>
          <w:szCs w:val="28"/>
        </w:rPr>
        <w:br w:type="page"/>
        <w:t>рН + рОН = 14</w:t>
      </w:r>
    </w:p>
    <w:p w14:paraId="778957EE" w14:textId="77777777" w:rsidR="00000000" w:rsidRDefault="00000000">
      <w:pPr>
        <w:ind w:firstLine="709"/>
        <w:rPr>
          <w:rFonts w:ascii="Times New Roman CYR" w:hAnsi="Times New Roman CYR" w:cs="Times New Roman CYR"/>
          <w:sz w:val="28"/>
          <w:szCs w:val="28"/>
        </w:rPr>
      </w:pPr>
    </w:p>
    <w:p w14:paraId="6AFF2B36"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Зная концентрацию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или рН можно вычислить концентрацию гидроксильных ионов или рОН.</w:t>
      </w:r>
    </w:p>
    <w:p w14:paraId="5A29AA3B" w14:textId="77777777" w:rsidR="00000000" w:rsidRDefault="00000000">
      <w:pPr>
        <w:ind w:firstLine="709"/>
        <w:rPr>
          <w:rFonts w:ascii="Times New Roman CYR" w:hAnsi="Times New Roman CYR" w:cs="Times New Roman CYR"/>
          <w:sz w:val="28"/>
          <w:szCs w:val="28"/>
        </w:rPr>
      </w:pPr>
    </w:p>
    <w:p w14:paraId="0B747DC4" w14:textId="2983A035"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63BEE867" wp14:editId="48F63CB4">
            <wp:extent cx="3223260" cy="556260"/>
            <wp:effectExtent l="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23260" cy="556260"/>
                    </a:xfrm>
                    <a:prstGeom prst="rect">
                      <a:avLst/>
                    </a:prstGeom>
                    <a:noFill/>
                    <a:ln>
                      <a:noFill/>
                    </a:ln>
                  </pic:spPr>
                </pic:pic>
              </a:graphicData>
            </a:graphic>
          </wp:inline>
        </w:drawing>
      </w:r>
    </w:p>
    <w:p w14:paraId="0F098400" w14:textId="77777777" w:rsidR="00000000" w:rsidRDefault="00000000">
      <w:pPr>
        <w:ind w:firstLine="709"/>
        <w:rPr>
          <w:rFonts w:ascii="Times New Roman CYR" w:hAnsi="Times New Roman CYR" w:cs="Times New Roman CYR"/>
          <w:sz w:val="28"/>
          <w:szCs w:val="28"/>
        </w:rPr>
      </w:pPr>
    </w:p>
    <w:p w14:paraId="7B19A586"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Уравнения Гендерсона-Гассельбаха для расчета рОН и рН в осн</w:t>
      </w:r>
      <w:r>
        <w:rPr>
          <w:rFonts w:ascii="Times New Roman" w:hAnsi="Times New Roman" w:cs="Times New Roman"/>
          <w:sz w:val="28"/>
          <w:szCs w:val="28"/>
        </w:rPr>
        <w:t>ó</w:t>
      </w:r>
      <w:r>
        <w:rPr>
          <w:rFonts w:ascii="Times New Roman CYR" w:hAnsi="Times New Roman CYR" w:cs="Times New Roman CYR"/>
          <w:sz w:val="28"/>
          <w:szCs w:val="28"/>
        </w:rPr>
        <w:t>вных буферных системах выглядят следующим образом:</w:t>
      </w:r>
    </w:p>
    <w:p w14:paraId="21F0085B" w14:textId="77777777" w:rsidR="00000000" w:rsidRDefault="00000000">
      <w:pPr>
        <w:ind w:firstLine="709"/>
        <w:rPr>
          <w:rFonts w:ascii="Times New Roman CYR" w:hAnsi="Times New Roman CYR" w:cs="Times New Roman CYR"/>
          <w:sz w:val="28"/>
          <w:szCs w:val="28"/>
        </w:rPr>
      </w:pPr>
    </w:p>
    <w:p w14:paraId="107D5C82" w14:textId="736045B8"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2DE6AFAF" wp14:editId="16F2958F">
            <wp:extent cx="2118360" cy="556260"/>
            <wp:effectExtent l="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8360" cy="556260"/>
                    </a:xfrm>
                    <a:prstGeom prst="rect">
                      <a:avLst/>
                    </a:prstGeom>
                    <a:noFill/>
                    <a:ln>
                      <a:noFill/>
                    </a:ln>
                  </pic:spPr>
                </pic:pic>
              </a:graphicData>
            </a:graphic>
          </wp:inline>
        </w:drawing>
      </w:r>
    </w:p>
    <w:p w14:paraId="3452ABB6" w14:textId="72AD5504" w:rsidR="00000000" w:rsidRDefault="00491361">
      <w:pPr>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rPr>
        <w:drawing>
          <wp:inline distT="0" distB="0" distL="0" distR="0" wp14:anchorId="05EE8526" wp14:editId="7DD86BD2">
            <wp:extent cx="2346960" cy="556260"/>
            <wp:effectExtent l="0" t="0" r="0" b="0"/>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6960" cy="556260"/>
                    </a:xfrm>
                    <a:prstGeom prst="rect">
                      <a:avLst/>
                    </a:prstGeom>
                    <a:noFill/>
                    <a:ln>
                      <a:noFill/>
                    </a:ln>
                  </pic:spPr>
                </pic:pic>
              </a:graphicData>
            </a:graphic>
          </wp:inline>
        </w:drawing>
      </w:r>
    </w:p>
    <w:p w14:paraId="62923FB4" w14:textId="77777777" w:rsidR="00000000" w:rsidRDefault="00000000">
      <w:pPr>
        <w:ind w:firstLine="709"/>
        <w:rPr>
          <w:rFonts w:ascii="Times New Roman CYR" w:hAnsi="Times New Roman CYR" w:cs="Times New Roman CYR"/>
          <w:sz w:val="28"/>
          <w:szCs w:val="28"/>
        </w:rPr>
      </w:pPr>
    </w:p>
    <w:p w14:paraId="1FA2CD63"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где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lang w:val="en-US"/>
        </w:rPr>
        <w:t>b</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lg</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b</w:t>
      </w:r>
      <w:r>
        <w:rPr>
          <w:rFonts w:ascii="Times New Roman CYR" w:hAnsi="Times New Roman CYR" w:cs="Times New Roman CYR"/>
          <w:sz w:val="28"/>
          <w:szCs w:val="28"/>
          <w:vertAlign w:val="subscript"/>
        </w:rPr>
        <w:t xml:space="preserve"> (основания)</w:t>
      </w:r>
      <w:r>
        <w:rPr>
          <w:rFonts w:ascii="Times New Roman CYR" w:hAnsi="Times New Roman CYR" w:cs="Times New Roman CYR"/>
          <w:sz w:val="28"/>
          <w:szCs w:val="28"/>
        </w:rPr>
        <w:t>, С</w:t>
      </w:r>
      <w:r>
        <w:rPr>
          <w:rFonts w:ascii="Times New Roman CYR" w:hAnsi="Times New Roman CYR" w:cs="Times New Roman CYR"/>
          <w:sz w:val="28"/>
          <w:szCs w:val="28"/>
          <w:vertAlign w:val="subscript"/>
        </w:rPr>
        <w:t>основания</w:t>
      </w:r>
      <w:r>
        <w:rPr>
          <w:rFonts w:ascii="Times New Roman CYR" w:hAnsi="Times New Roman CYR" w:cs="Times New Roman CYR"/>
          <w:sz w:val="28"/>
          <w:szCs w:val="28"/>
        </w:rPr>
        <w:t xml:space="preserve"> и 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 исходные молярные концентрации компонентов данных буферных систем, т.е. слабого основания и его соли с сильной кислотой.</w:t>
      </w:r>
    </w:p>
    <w:p w14:paraId="43ADFF25"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Из приведенных выше уравнений следует, что рН и рОН буферной системы зависит от константы кислотности или основности слабого электролита, входящего в ее состав и от соотношения концентраций компонентов буфера.</w:t>
      </w:r>
    </w:p>
    <w:p w14:paraId="0522006B"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Значение рК для слабого электролита является величиной постоянной, не зависит от концентрации этого электролита в растворе и приводится в соответствующих справочниках. Зная его можно с помощью уравнения Гендерсона-Гассельбаха рассчитать рН буферного раствора, если известен его количественный состав или, наоборот, определить состав раствора (исходные концентрации его компонентов), который будет обеспечивать заданное значение рН. На практике обычно пользуются готовыми таблицами, в которых указано, в каком соотношении должны быть взяты компоненты для получения буферного раствора с желаемым значением рН.</w:t>
      </w:r>
    </w:p>
    <w:p w14:paraId="0476B169"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Если концентрации веществ в буферной системе одинаковые, т.е. </w:t>
      </w:r>
    </w:p>
    <w:p w14:paraId="5880C6E2" w14:textId="77777777" w:rsidR="00000000" w:rsidRDefault="00000000">
      <w:pPr>
        <w:ind w:firstLine="709"/>
        <w:rPr>
          <w:rFonts w:ascii="Times New Roman CYR" w:hAnsi="Times New Roman CYR" w:cs="Times New Roman CYR"/>
          <w:sz w:val="28"/>
          <w:szCs w:val="28"/>
        </w:rPr>
      </w:pPr>
    </w:p>
    <w:p w14:paraId="5F5ABFB7"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С</w:t>
      </w:r>
      <w:r>
        <w:rPr>
          <w:rFonts w:ascii="Times New Roman CYR" w:hAnsi="Times New Roman CYR" w:cs="Times New Roman CYR"/>
          <w:sz w:val="28"/>
          <w:szCs w:val="28"/>
          <w:vertAlign w:val="subscript"/>
        </w:rPr>
        <w:t>кислоты</w:t>
      </w:r>
      <w:r>
        <w:rPr>
          <w:rFonts w:ascii="Times New Roman CYR" w:hAnsi="Times New Roman CYR" w:cs="Times New Roman CYR"/>
          <w:sz w:val="28"/>
          <w:szCs w:val="28"/>
        </w:rPr>
        <w:t xml:space="preserve"> = 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или С</w:t>
      </w:r>
      <w:r>
        <w:rPr>
          <w:rFonts w:ascii="Times New Roman CYR" w:hAnsi="Times New Roman CYR" w:cs="Times New Roman CYR"/>
          <w:sz w:val="28"/>
          <w:szCs w:val="28"/>
          <w:vertAlign w:val="subscript"/>
        </w:rPr>
        <w:t>основания</w:t>
      </w:r>
      <w:r>
        <w:rPr>
          <w:rFonts w:ascii="Times New Roman CYR" w:hAnsi="Times New Roman CYR" w:cs="Times New Roman CYR"/>
          <w:sz w:val="28"/>
          <w:szCs w:val="28"/>
        </w:rPr>
        <w:t xml:space="preserve"> = 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то</w:t>
      </w:r>
    </w:p>
    <w:p w14:paraId="3779B3B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рН = р</w:t>
      </w: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(для кислотной буферной системы)</w:t>
      </w:r>
    </w:p>
    <w:p w14:paraId="52F10E7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lang w:val="en-US"/>
        </w:rPr>
        <w:t>pOH</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lang w:val="en-US"/>
        </w:rPr>
        <w:t>b</w:t>
      </w:r>
      <w:r>
        <w:rPr>
          <w:rFonts w:ascii="Times New Roman CYR" w:hAnsi="Times New Roman CYR" w:cs="Times New Roman CYR"/>
          <w:sz w:val="28"/>
          <w:szCs w:val="28"/>
        </w:rPr>
        <w:t xml:space="preserve"> (для осн</w:t>
      </w:r>
      <w:r>
        <w:rPr>
          <w:rFonts w:ascii="Times New Roman" w:hAnsi="Times New Roman" w:cs="Times New Roman"/>
          <w:sz w:val="28"/>
          <w:szCs w:val="28"/>
        </w:rPr>
        <w:t>ó</w:t>
      </w:r>
      <w:r>
        <w:rPr>
          <w:rFonts w:ascii="Times New Roman CYR" w:hAnsi="Times New Roman CYR" w:cs="Times New Roman CYR"/>
          <w:sz w:val="28"/>
          <w:szCs w:val="28"/>
        </w:rPr>
        <w:t>вной буферной системы)</w:t>
      </w:r>
    </w:p>
    <w:p w14:paraId="04C58710" w14:textId="77777777" w:rsidR="00000000" w:rsidRDefault="00000000">
      <w:pPr>
        <w:ind w:firstLine="709"/>
        <w:rPr>
          <w:rFonts w:ascii="Times New Roman CYR" w:hAnsi="Times New Roman CYR" w:cs="Times New Roman CYR"/>
          <w:sz w:val="28"/>
          <w:szCs w:val="28"/>
        </w:rPr>
      </w:pPr>
    </w:p>
    <w:p w14:paraId="28DB2663"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Изменяя концентрацию какого-либо компонента можно сместить значение рН в ту или иную сторону для достижения нужной величины.</w:t>
      </w:r>
    </w:p>
    <w:p w14:paraId="7A5C78EE"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В буферных системах, используемых на практике, концентрации компонентов не отличаются друг от друга более чем в 10 раз, т.е. их рН не отклоняется больше чем на единицу от величины р</w:t>
      </w:r>
      <w:r>
        <w:rPr>
          <w:rFonts w:ascii="Times New Roman CYR" w:hAnsi="Times New Roman CYR" w:cs="Times New Roman CYR"/>
          <w:sz w:val="28"/>
          <w:szCs w:val="28"/>
          <w:lang w:val="en-US"/>
        </w:rPr>
        <w:t>K</w:t>
      </w:r>
      <w:r>
        <w:rPr>
          <w:rFonts w:ascii="Times New Roman CYR" w:hAnsi="Times New Roman CYR" w:cs="Times New Roman CYR"/>
          <w:sz w:val="28"/>
          <w:szCs w:val="28"/>
        </w:rPr>
        <w:t xml:space="preserve"> своего слабого электролита. Таким образом, область практических значений рН буферных систем (область буферирования) лежит в интервале </w:t>
      </w:r>
      <w:r>
        <w:rPr>
          <w:rFonts w:ascii="Times New Roman CYR" w:hAnsi="Times New Roman CYR" w:cs="Times New Roman CYR"/>
          <w:sz w:val="28"/>
          <w:szCs w:val="28"/>
          <w:lang w:val="en-US"/>
        </w:rPr>
        <w:t>pK</w:t>
      </w:r>
      <w:r>
        <w:rPr>
          <w:rFonts w:ascii="Times New Roman CYR" w:hAnsi="Times New Roman CYR" w:cs="Times New Roman CYR"/>
          <w:sz w:val="28"/>
          <w:szCs w:val="28"/>
        </w:rPr>
        <w:t xml:space="preserve"> ± 1.</w:t>
      </w:r>
    </w:p>
    <w:p w14:paraId="489841EA"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Если концентрации компонентов буферного раствора различаются более чем в 10 раз, то такой раствор обладает слабым буферным действием и может удерживать неизменным содержание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только при добавлении очень малых количеств сильной кислоты либо щелочи. Это делает неудобным его использование в практических целях.</w:t>
      </w:r>
    </w:p>
    <w:p w14:paraId="142586CD"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При разбавлении концентрации обоих компонентов буферных растворов уменьшаются в одинаковое число раз, поэтому их соотношение остается неизменным. Следовательно по уравнению Гендерсона-Гассельбаха величина рН буферного раствора при этом тоже не должна изменяться. При разбавлении в 10-20 раз экспериментальные измерения рН хорошо согласуются с теоретическими расчетами. Однако при большем разбавлении наблюдается небольшое увеличение рН раствора, которое связано с возрастанием степени диссоциации слабого электролита и увеличением константы его диссоциации.</w:t>
      </w:r>
    </w:p>
    <w:p w14:paraId="7EB12350"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Уравнение Гендерсона-Гассельбаха является приближенным и его не рекомендуется использовать в следующих случаях:</w:t>
      </w:r>
    </w:p>
    <w:p w14:paraId="6CA4A0C8"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 если кислота либо основание буферной системы не является достаточно слабым электролитом (например, для кислоты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&lt; 3). Тогда нельзя пренебрегать их диссоциацией в присутствии собственной соли;</w:t>
      </w:r>
    </w:p>
    <w:p w14:paraId="02B90814"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 если кислота либо основание буферной системы являются, наоборот, слишком слабыми электролитами (например, для кислоты </w:t>
      </w:r>
      <w:r>
        <w:rPr>
          <w:rFonts w:ascii="Times New Roman CYR" w:hAnsi="Times New Roman CYR" w:cs="Times New Roman CYR"/>
          <w:sz w:val="28"/>
          <w:szCs w:val="28"/>
          <w:lang w:val="en-US"/>
        </w:rPr>
        <w:t>pK</w:t>
      </w:r>
      <w:r>
        <w:rPr>
          <w:rFonts w:ascii="Times New Roman CYR" w:hAnsi="Times New Roman CYR" w:cs="Times New Roman CYR"/>
          <w:sz w:val="28"/>
          <w:szCs w:val="28"/>
          <w:vertAlign w:val="subscript"/>
          <w:lang w:val="en-US"/>
        </w:rPr>
        <w:t>a</w:t>
      </w:r>
      <w:r>
        <w:rPr>
          <w:rFonts w:ascii="Times New Roman CYR" w:hAnsi="Times New Roman CYR" w:cs="Times New Roman CYR"/>
          <w:sz w:val="28"/>
          <w:szCs w:val="28"/>
        </w:rPr>
        <w:t xml:space="preserve"> &gt; 11). Тогда нельзя пренебрегать гидролизом их солей.</w:t>
      </w:r>
    </w:p>
    <w:p w14:paraId="0F779EA4" w14:textId="77777777" w:rsidR="00000000" w:rsidRDefault="00000000">
      <w:pPr>
        <w:ind w:firstLine="709"/>
        <w:rPr>
          <w:rFonts w:ascii="Times New Roman CYR" w:hAnsi="Times New Roman CYR" w:cs="Times New Roman CYR"/>
          <w:sz w:val="28"/>
          <w:szCs w:val="28"/>
        </w:rPr>
      </w:pPr>
    </w:p>
    <w:p w14:paraId="7B0DB5F8" w14:textId="77777777" w:rsidR="00000000" w:rsidRDefault="00000000">
      <w:pPr>
        <w:pStyle w:val="3"/>
        <w:keepNext/>
        <w:suppressAutoHyphens/>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Буферная емкость</w:t>
      </w:r>
    </w:p>
    <w:p w14:paraId="580AEB5F" w14:textId="77777777" w:rsidR="00000000" w:rsidRDefault="00000000">
      <w:pPr>
        <w:spacing w:line="360" w:lineRule="auto"/>
        <w:ind w:firstLine="709"/>
        <w:jc w:val="both"/>
        <w:rPr>
          <w:rFonts w:ascii="Times New Roman CYR" w:hAnsi="Times New Roman CYR" w:cs="Times New Roman CYR"/>
          <w:b/>
          <w:bCs/>
          <w:sz w:val="28"/>
          <w:szCs w:val="28"/>
        </w:rPr>
      </w:pPr>
    </w:p>
    <w:p w14:paraId="35F47427"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Способность буферных систем противодействовать резкому изменению рН при добавлении к ним сильной кислоты или основания является ограниченной. Буферная смесь поддерживает рН постоянным только при условии, что количество вносимых в раствор сильной кислоты или щелочи не превышает определенной величины. В противном случае наблюдается резкое изменение рН, т.е. буферное действие раствора прекращается. Это связано с тем, что в результате протекающей реакции изменяется соотношение молярных концентраций компонентов буферной системы: С</w:t>
      </w:r>
      <w:r>
        <w:rPr>
          <w:rFonts w:ascii="Times New Roman CYR" w:hAnsi="Times New Roman CYR" w:cs="Times New Roman CYR"/>
          <w:sz w:val="28"/>
          <w:szCs w:val="28"/>
          <w:vertAlign w:val="subscript"/>
        </w:rPr>
        <w:t>кислоты</w:t>
      </w:r>
      <w:r>
        <w:rPr>
          <w:rFonts w:ascii="Times New Roman CYR" w:hAnsi="Times New Roman CYR" w:cs="Times New Roman CYR"/>
          <w:sz w:val="28"/>
          <w:szCs w:val="28"/>
        </w:rPr>
        <w:t>/С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или С</w:t>
      </w:r>
      <w:r>
        <w:rPr>
          <w:rFonts w:ascii="Times New Roman CYR" w:hAnsi="Times New Roman CYR" w:cs="Times New Roman CYR"/>
          <w:sz w:val="28"/>
          <w:szCs w:val="28"/>
          <w:vertAlign w:val="subscript"/>
        </w:rPr>
        <w:t>основания</w:t>
      </w:r>
      <w:r>
        <w:rPr>
          <w:rFonts w:ascii="Times New Roman CYR" w:hAnsi="Times New Roman CYR" w:cs="Times New Roman CYR"/>
          <w:sz w:val="28"/>
          <w:szCs w:val="28"/>
        </w:rPr>
        <w:t>/С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При этом концентрация компонента, реагирующего с добавленной кислотой или щелочью, уменьшается, а концентрация второго компонента возрастает, т.к. он дополнительно образуется в ходе реакции. Количественно буферное действие раствора характеризуется с помощью буферной емкости (В). При этом различают буферную емкость по кислоте (В</w:t>
      </w:r>
      <w:r>
        <w:rPr>
          <w:rFonts w:ascii="Times New Roman CYR" w:hAnsi="Times New Roman CYR" w:cs="Times New Roman CYR"/>
          <w:sz w:val="28"/>
          <w:szCs w:val="28"/>
          <w:vertAlign w:val="subscript"/>
        </w:rPr>
        <w:t>к.</w:t>
      </w:r>
      <w:r>
        <w:rPr>
          <w:rFonts w:ascii="Times New Roman CYR" w:hAnsi="Times New Roman CYR" w:cs="Times New Roman CYR"/>
          <w:sz w:val="28"/>
          <w:szCs w:val="28"/>
        </w:rPr>
        <w:t>) и буферную емкость по основанию или щелочи (В</w:t>
      </w:r>
      <w:r>
        <w:rPr>
          <w:rFonts w:ascii="Times New Roman CYR" w:hAnsi="Times New Roman CYR" w:cs="Times New Roman CYR"/>
          <w:sz w:val="28"/>
          <w:szCs w:val="28"/>
          <w:vertAlign w:val="subscript"/>
        </w:rPr>
        <w:t>о.</w:t>
      </w:r>
      <w:r>
        <w:rPr>
          <w:rFonts w:ascii="Times New Roman CYR" w:hAnsi="Times New Roman CYR" w:cs="Times New Roman CYR"/>
          <w:sz w:val="28"/>
          <w:szCs w:val="28"/>
        </w:rPr>
        <w:t xml:space="preserve">). </w:t>
      </w:r>
      <w:r>
        <w:rPr>
          <w:rFonts w:ascii="Times New Roman CYR" w:hAnsi="Times New Roman CYR" w:cs="Times New Roman CYR"/>
          <w:b/>
          <w:bCs/>
          <w:sz w:val="28"/>
          <w:szCs w:val="28"/>
        </w:rPr>
        <w:t>Буферной емкостью по кислоте</w:t>
      </w:r>
      <w:r>
        <w:rPr>
          <w:rFonts w:ascii="Times New Roman CYR" w:hAnsi="Times New Roman CYR" w:cs="Times New Roman CYR"/>
          <w:sz w:val="28"/>
          <w:szCs w:val="28"/>
        </w:rPr>
        <w:t xml:space="preserve"> является то количество химического эквивалента сильной кислоты, которое нужно добавить к 1 литру (1 дм</w:t>
      </w:r>
      <w:r>
        <w:rPr>
          <w:rFonts w:ascii="Times New Roman CYR" w:hAnsi="Times New Roman CYR" w:cs="Times New Roman CYR"/>
          <w:sz w:val="28"/>
          <w:szCs w:val="28"/>
          <w:vertAlign w:val="superscript"/>
        </w:rPr>
        <w:t>3</w:t>
      </w:r>
      <w:r>
        <w:rPr>
          <w:rFonts w:ascii="Times New Roman CYR" w:hAnsi="Times New Roman CYR" w:cs="Times New Roman CYR"/>
          <w:sz w:val="28"/>
          <w:szCs w:val="28"/>
        </w:rPr>
        <w:t>) буферной системы, чтобы уменьшить её рН на единицу. Ее можно рассчитать по следующей формуле:</w:t>
      </w:r>
    </w:p>
    <w:p w14:paraId="7E18D16F" w14:textId="172DAF3B"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br w:type="page"/>
      </w:r>
      <w:r w:rsidR="00491361">
        <w:rPr>
          <w:rFonts w:ascii="Microsoft Sans Serif" w:hAnsi="Microsoft Sans Serif" w:cs="Microsoft Sans Serif"/>
          <w:noProof/>
          <w:sz w:val="17"/>
          <w:szCs w:val="17"/>
        </w:rPr>
        <w:drawing>
          <wp:inline distT="0" distB="0" distL="0" distR="0" wp14:anchorId="2A76BB9A" wp14:editId="3E853421">
            <wp:extent cx="1432560" cy="586740"/>
            <wp:effectExtent l="0" t="0" r="0"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2560" cy="586740"/>
                    </a:xfrm>
                    <a:prstGeom prst="rect">
                      <a:avLst/>
                    </a:prstGeom>
                    <a:noFill/>
                    <a:ln>
                      <a:noFill/>
                    </a:ln>
                  </pic:spPr>
                </pic:pic>
              </a:graphicData>
            </a:graphic>
          </wp:inline>
        </w:drawing>
      </w:r>
    </w:p>
    <w:p w14:paraId="1927844A" w14:textId="77777777" w:rsidR="00000000" w:rsidRDefault="00000000">
      <w:pPr>
        <w:ind w:firstLine="709"/>
        <w:rPr>
          <w:rFonts w:ascii="Times New Roman CYR" w:hAnsi="Times New Roman CYR" w:cs="Times New Roman CYR"/>
          <w:sz w:val="28"/>
          <w:szCs w:val="28"/>
        </w:rPr>
      </w:pPr>
    </w:p>
    <w:p w14:paraId="1C0AD331"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где </w:t>
      </w:r>
      <w:r>
        <w:rPr>
          <w:rFonts w:ascii="Times New Roman CYR" w:hAnsi="Times New Roman CYR" w:cs="Times New Roman CYR"/>
          <w:sz w:val="28"/>
          <w:szCs w:val="28"/>
          <w:lang w:val="en-US"/>
        </w:rPr>
        <w:t>n</w:t>
      </w:r>
      <w:r>
        <w:rPr>
          <w:rFonts w:ascii="Times New Roman CYR" w:hAnsi="Times New Roman CYR" w:cs="Times New Roman CYR"/>
          <w:sz w:val="28"/>
          <w:szCs w:val="28"/>
        </w:rPr>
        <w:t>(1/</w:t>
      </w:r>
      <w:r>
        <w:rPr>
          <w:rFonts w:ascii="Times New Roman CYR" w:hAnsi="Times New Roman CYR" w:cs="Times New Roman CYR"/>
          <w:sz w:val="28"/>
          <w:szCs w:val="28"/>
          <w:lang w:val="en-US"/>
        </w:rPr>
        <w:t>z</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HA</w:t>
      </w:r>
      <w:r>
        <w:rPr>
          <w:rFonts w:ascii="Times New Roman CYR" w:hAnsi="Times New Roman CYR" w:cs="Times New Roman CYR"/>
          <w:sz w:val="28"/>
          <w:szCs w:val="28"/>
        </w:rPr>
        <w:t>) - число молей химического эквивалента сильной кислоты, добавленное к 1 литру буферной системы;рН</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 xml:space="preserve"> - водородный показатель системы до добавления сильной кислоты;рН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водородный показатель системы после добавления сильной кислоты.</w:t>
      </w:r>
    </w:p>
    <w:p w14:paraId="6654BD24"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В более общем случае (если брать не 1 литр буферной системы, а любой другой ее объем, выраженный в литрах или дм</w:t>
      </w:r>
      <w:r>
        <w:rPr>
          <w:rFonts w:ascii="Times New Roman CYR" w:hAnsi="Times New Roman CYR" w:cs="Times New Roman CYR"/>
          <w:sz w:val="28"/>
          <w:szCs w:val="28"/>
          <w:vertAlign w:val="superscript"/>
        </w:rPr>
        <w:t>3</w:t>
      </w:r>
      <w:r>
        <w:rPr>
          <w:rFonts w:ascii="Times New Roman CYR" w:hAnsi="Times New Roman CYR" w:cs="Times New Roman CYR"/>
          <w:sz w:val="28"/>
          <w:szCs w:val="28"/>
        </w:rPr>
        <w:t>) формула для подсчета буферной емкости будет иметь следующий вид:</w:t>
      </w:r>
    </w:p>
    <w:p w14:paraId="5BE8ECB6" w14:textId="77777777" w:rsidR="00000000" w:rsidRDefault="00000000">
      <w:pPr>
        <w:ind w:firstLine="709"/>
        <w:rPr>
          <w:rFonts w:ascii="Times New Roman CYR" w:hAnsi="Times New Roman CYR" w:cs="Times New Roman CYR"/>
          <w:sz w:val="28"/>
          <w:szCs w:val="28"/>
        </w:rPr>
      </w:pPr>
    </w:p>
    <w:p w14:paraId="11CDEBC5" w14:textId="63175D9F"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2807D0A6" wp14:editId="18788873">
            <wp:extent cx="4869180" cy="632460"/>
            <wp:effectExtent l="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9180" cy="632460"/>
                    </a:xfrm>
                    <a:prstGeom prst="rect">
                      <a:avLst/>
                    </a:prstGeom>
                    <a:noFill/>
                    <a:ln>
                      <a:noFill/>
                    </a:ln>
                  </pic:spPr>
                </pic:pic>
              </a:graphicData>
            </a:graphic>
          </wp:inline>
        </w:drawing>
      </w:r>
    </w:p>
    <w:p w14:paraId="23DA9C64" w14:textId="77777777" w:rsidR="00000000" w:rsidRDefault="00000000">
      <w:pPr>
        <w:ind w:firstLine="709"/>
        <w:rPr>
          <w:rFonts w:ascii="Times New Roman CYR" w:hAnsi="Times New Roman CYR" w:cs="Times New Roman CYR"/>
          <w:sz w:val="28"/>
          <w:szCs w:val="28"/>
        </w:rPr>
      </w:pPr>
    </w:p>
    <w:p w14:paraId="14AE682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где С(1/</w:t>
      </w:r>
      <w:r>
        <w:rPr>
          <w:rFonts w:ascii="Times New Roman CYR" w:hAnsi="Times New Roman CYR" w:cs="Times New Roman CYR"/>
          <w:sz w:val="28"/>
          <w:szCs w:val="28"/>
          <w:lang w:val="en-US"/>
        </w:rPr>
        <w:t>z</w:t>
      </w:r>
      <w:r>
        <w:rPr>
          <w:rFonts w:ascii="Times New Roman CYR" w:hAnsi="Times New Roman CYR" w:cs="Times New Roman CYR"/>
          <w:sz w:val="28"/>
          <w:szCs w:val="28"/>
        </w:rPr>
        <w:t xml:space="preserve"> НА) - молярная концентрация химического эквивалента сильной кислоты в добавляемом растворе; </w:t>
      </w:r>
      <w:r>
        <w:rPr>
          <w:rFonts w:ascii="Times New Roman CYR" w:hAnsi="Times New Roman CYR" w:cs="Times New Roman CYR"/>
          <w:sz w:val="28"/>
          <w:szCs w:val="28"/>
          <w:lang w:val="en-US"/>
        </w:rPr>
        <w:t>V</w:t>
      </w:r>
      <w:r>
        <w:rPr>
          <w:rFonts w:ascii="Times New Roman CYR" w:hAnsi="Times New Roman CYR" w:cs="Times New Roman CYR"/>
          <w:sz w:val="28"/>
          <w:szCs w:val="28"/>
        </w:rPr>
        <w:t xml:space="preserve">(НА) - объем (л) добавленного раствора сильной кислоты; </w:t>
      </w:r>
      <w:r>
        <w:rPr>
          <w:rFonts w:ascii="Times New Roman CYR" w:hAnsi="Times New Roman CYR" w:cs="Times New Roman CYR"/>
          <w:sz w:val="28"/>
          <w:szCs w:val="28"/>
          <w:lang w:val="en-US"/>
        </w:rPr>
        <w:t>V</w:t>
      </w:r>
      <w:r>
        <w:rPr>
          <w:rFonts w:ascii="Times New Roman CYR" w:hAnsi="Times New Roman CYR" w:cs="Times New Roman CYR"/>
          <w:sz w:val="28"/>
          <w:szCs w:val="28"/>
          <w:vertAlign w:val="subscript"/>
        </w:rPr>
        <w:t>(буферной системы)</w:t>
      </w:r>
      <w:r>
        <w:rPr>
          <w:rFonts w:ascii="Times New Roman CYR" w:hAnsi="Times New Roman CYR" w:cs="Times New Roman CYR"/>
          <w:sz w:val="28"/>
          <w:szCs w:val="28"/>
        </w:rPr>
        <w:t xml:space="preserve"> - объем буферного раствора, к которому добавляют раствор кислоты.</w:t>
      </w:r>
    </w:p>
    <w:p w14:paraId="01DF0A2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Соответственно </w:t>
      </w:r>
      <w:r>
        <w:rPr>
          <w:rFonts w:ascii="Times New Roman CYR" w:hAnsi="Times New Roman CYR" w:cs="Times New Roman CYR"/>
          <w:b/>
          <w:bCs/>
          <w:sz w:val="28"/>
          <w:szCs w:val="28"/>
        </w:rPr>
        <w:t>буферной емкостью по основанию</w:t>
      </w:r>
      <w:r>
        <w:rPr>
          <w:rFonts w:ascii="Times New Roman CYR" w:hAnsi="Times New Roman CYR" w:cs="Times New Roman CYR"/>
          <w:sz w:val="28"/>
          <w:szCs w:val="28"/>
        </w:rPr>
        <w:t xml:space="preserve"> является то количество химического эквивалента сильного основания (щелочи), которое нужно добавить к 1 литру (1 дм</w:t>
      </w:r>
      <w:r>
        <w:rPr>
          <w:rFonts w:ascii="Times New Roman CYR" w:hAnsi="Times New Roman CYR" w:cs="Times New Roman CYR"/>
          <w:sz w:val="28"/>
          <w:szCs w:val="28"/>
          <w:vertAlign w:val="superscript"/>
        </w:rPr>
        <w:t>3</w:t>
      </w:r>
      <w:r>
        <w:rPr>
          <w:rFonts w:ascii="Times New Roman CYR" w:hAnsi="Times New Roman CYR" w:cs="Times New Roman CYR"/>
          <w:sz w:val="28"/>
          <w:szCs w:val="28"/>
        </w:rPr>
        <w:t>) буферной системы, чтобы вызвать увеличение ее рН на единицу:</w:t>
      </w:r>
    </w:p>
    <w:p w14:paraId="6495F793" w14:textId="77777777" w:rsidR="00000000" w:rsidRDefault="00000000">
      <w:pPr>
        <w:ind w:firstLine="709"/>
        <w:rPr>
          <w:rFonts w:ascii="Times New Roman CYR" w:hAnsi="Times New Roman CYR" w:cs="Times New Roman CYR"/>
          <w:sz w:val="28"/>
          <w:szCs w:val="28"/>
        </w:rPr>
      </w:pPr>
    </w:p>
    <w:p w14:paraId="6847A815" w14:textId="50FA3C5F"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4EDC31A4" wp14:editId="4C396591">
            <wp:extent cx="1386840" cy="586740"/>
            <wp:effectExtent l="0" t="0" r="0"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6840" cy="586740"/>
                    </a:xfrm>
                    <a:prstGeom prst="rect">
                      <a:avLst/>
                    </a:prstGeom>
                    <a:noFill/>
                    <a:ln>
                      <a:noFill/>
                    </a:ln>
                  </pic:spPr>
                </pic:pic>
              </a:graphicData>
            </a:graphic>
          </wp:inline>
        </w:drawing>
      </w:r>
    </w:p>
    <w:p w14:paraId="20080AC4" w14:textId="77777777" w:rsidR="00000000" w:rsidRDefault="00000000">
      <w:pPr>
        <w:ind w:firstLine="709"/>
        <w:rPr>
          <w:rFonts w:ascii="Times New Roman CYR" w:hAnsi="Times New Roman CYR" w:cs="Times New Roman CYR"/>
          <w:sz w:val="28"/>
          <w:szCs w:val="28"/>
        </w:rPr>
      </w:pPr>
    </w:p>
    <w:p w14:paraId="6F91D293"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 xml:space="preserve">где </w:t>
      </w:r>
      <w:r>
        <w:rPr>
          <w:rFonts w:ascii="Times New Roman CYR" w:hAnsi="Times New Roman CYR" w:cs="Times New Roman CYR"/>
          <w:sz w:val="28"/>
          <w:szCs w:val="28"/>
          <w:lang w:val="en-US"/>
        </w:rPr>
        <w:t>n</w:t>
      </w:r>
      <w:r>
        <w:rPr>
          <w:rFonts w:ascii="Times New Roman CYR" w:hAnsi="Times New Roman CYR" w:cs="Times New Roman CYR"/>
          <w:sz w:val="28"/>
          <w:szCs w:val="28"/>
        </w:rPr>
        <w:t>(1/</w:t>
      </w:r>
      <w:r>
        <w:rPr>
          <w:rFonts w:ascii="Times New Roman CYR" w:hAnsi="Times New Roman CYR" w:cs="Times New Roman CYR"/>
          <w:sz w:val="28"/>
          <w:szCs w:val="28"/>
          <w:lang w:val="en-US"/>
        </w:rPr>
        <w:t>z</w:t>
      </w:r>
      <w:r>
        <w:rPr>
          <w:rFonts w:ascii="Times New Roman CYR" w:hAnsi="Times New Roman CYR" w:cs="Times New Roman CYR"/>
          <w:sz w:val="28"/>
          <w:szCs w:val="28"/>
        </w:rPr>
        <w:t xml:space="preserve"> В) - число молей химического эквивалента основания, которое добавили к 1 литру буферного раствора; рН</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 xml:space="preserve"> - водородный показатель раствора до добавления основания; рН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водородный показатель раствора после добавления основания. В более общем случае (если брать не 1 литр буферной системы, а любой другой ее объем) формула для подсчета буферной емкости по основанию примет следующий вид:</w:t>
      </w:r>
    </w:p>
    <w:p w14:paraId="48483548" w14:textId="77777777" w:rsidR="00000000" w:rsidRDefault="00000000">
      <w:pPr>
        <w:ind w:firstLine="709"/>
        <w:rPr>
          <w:rFonts w:ascii="Times New Roman CYR" w:hAnsi="Times New Roman CYR" w:cs="Times New Roman CYR"/>
          <w:sz w:val="28"/>
          <w:szCs w:val="28"/>
        </w:rPr>
      </w:pPr>
    </w:p>
    <w:p w14:paraId="1530E9F2" w14:textId="08886C10" w:rsidR="00000000" w:rsidRDefault="00491361">
      <w:pPr>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70694966" wp14:editId="1B7592AB">
            <wp:extent cx="4861560" cy="632460"/>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61560" cy="632460"/>
                    </a:xfrm>
                    <a:prstGeom prst="rect">
                      <a:avLst/>
                    </a:prstGeom>
                    <a:noFill/>
                    <a:ln>
                      <a:noFill/>
                    </a:ln>
                  </pic:spPr>
                </pic:pic>
              </a:graphicData>
            </a:graphic>
          </wp:inline>
        </w:drawing>
      </w:r>
    </w:p>
    <w:p w14:paraId="108B93C7" w14:textId="77777777" w:rsidR="00000000" w:rsidRDefault="00000000">
      <w:pPr>
        <w:ind w:firstLine="709"/>
        <w:rPr>
          <w:rFonts w:ascii="Times New Roman CYR" w:hAnsi="Times New Roman CYR" w:cs="Times New Roman CYR"/>
          <w:sz w:val="28"/>
          <w:szCs w:val="28"/>
        </w:rPr>
      </w:pPr>
    </w:p>
    <w:p w14:paraId="55B0E8DF"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где С(1/</w:t>
      </w:r>
      <w:r>
        <w:rPr>
          <w:rFonts w:ascii="Times New Roman CYR" w:hAnsi="Times New Roman CYR" w:cs="Times New Roman CYR"/>
          <w:sz w:val="28"/>
          <w:szCs w:val="28"/>
          <w:lang w:val="en-US"/>
        </w:rPr>
        <w:t>z</w:t>
      </w:r>
      <w:r>
        <w:rPr>
          <w:rFonts w:ascii="Times New Roman CYR" w:hAnsi="Times New Roman CYR" w:cs="Times New Roman CYR"/>
          <w:sz w:val="28"/>
          <w:szCs w:val="28"/>
        </w:rPr>
        <w:t xml:space="preserve"> В) - молярная концентрация химического эквивалента основания в добавляемом растворе; </w:t>
      </w:r>
      <w:r>
        <w:rPr>
          <w:rFonts w:ascii="Times New Roman CYR" w:hAnsi="Times New Roman CYR" w:cs="Times New Roman CYR"/>
          <w:sz w:val="28"/>
          <w:szCs w:val="28"/>
          <w:lang w:val="en-US"/>
        </w:rPr>
        <w:t>V</w:t>
      </w:r>
      <w:r>
        <w:rPr>
          <w:rFonts w:ascii="Times New Roman CYR" w:hAnsi="Times New Roman CYR" w:cs="Times New Roman CYR"/>
          <w:sz w:val="28"/>
          <w:szCs w:val="28"/>
        </w:rPr>
        <w:t xml:space="preserve">(В) - объем (л) добавленного раствора сильного основания; </w:t>
      </w:r>
      <w:r>
        <w:rPr>
          <w:rFonts w:ascii="Times New Roman CYR" w:hAnsi="Times New Roman CYR" w:cs="Times New Roman CYR"/>
          <w:sz w:val="28"/>
          <w:szCs w:val="28"/>
          <w:lang w:val="en-US"/>
        </w:rPr>
        <w:t>V</w:t>
      </w:r>
      <w:r>
        <w:rPr>
          <w:rFonts w:ascii="Times New Roman CYR" w:hAnsi="Times New Roman CYR" w:cs="Times New Roman CYR"/>
          <w:sz w:val="28"/>
          <w:szCs w:val="28"/>
          <w:vertAlign w:val="subscript"/>
        </w:rPr>
        <w:t>(буферной системы)</w:t>
      </w:r>
      <w:r>
        <w:rPr>
          <w:rFonts w:ascii="Times New Roman CYR" w:hAnsi="Times New Roman CYR" w:cs="Times New Roman CYR"/>
          <w:sz w:val="28"/>
          <w:szCs w:val="28"/>
        </w:rPr>
        <w:t xml:space="preserve"> - объем буферного раствора (л), к которому добавляют раствор сильного основания.</w:t>
      </w:r>
    </w:p>
    <w:p w14:paraId="7EE299F6"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Величина буферной емкости зависит от концентраций компонентов буферной системы и от их соотношения.</w:t>
      </w:r>
    </w:p>
    <w:p w14:paraId="5639623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Чем более концентрированным является буферный раствор, тем выше его буферная емкость, т.к. в этом случае добавление небольших количеств сильной кислоты или щелочи не вызовет существенного изменения концентраций его компонентов, а значит и их соотношения.</w:t>
      </w:r>
    </w:p>
    <w:p w14:paraId="727A78FA"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Из буферных растворов с одинаковым суммарным содержанием химического количества их компонентов наибольшей емкостью будут обладать те, которые составлены из равного числа молей слабой кислоты и её соли или слабого основания и его соли (рис. 35). В таких растворах молярные концентрации компонентов будут одинаковые, а значит соотношение С</w:t>
      </w:r>
      <w:r>
        <w:rPr>
          <w:rFonts w:ascii="Times New Roman CYR" w:hAnsi="Times New Roman CYR" w:cs="Times New Roman CYR"/>
          <w:sz w:val="28"/>
          <w:szCs w:val="28"/>
          <w:vertAlign w:val="subscript"/>
        </w:rPr>
        <w:t>кислоты</w:t>
      </w:r>
      <w:r>
        <w:rPr>
          <w:rFonts w:ascii="Times New Roman CYR" w:hAnsi="Times New Roman CYR" w:cs="Times New Roman CYR"/>
          <w:sz w:val="28"/>
          <w:szCs w:val="28"/>
        </w:rPr>
        <w:t>/С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 1 и С</w:t>
      </w:r>
      <w:r>
        <w:rPr>
          <w:rFonts w:ascii="Times New Roman CYR" w:hAnsi="Times New Roman CYR" w:cs="Times New Roman CYR"/>
          <w:sz w:val="28"/>
          <w:szCs w:val="28"/>
          <w:vertAlign w:val="subscript"/>
        </w:rPr>
        <w:t>основания</w:t>
      </w:r>
      <w:r>
        <w:rPr>
          <w:rFonts w:ascii="Times New Roman CYR" w:hAnsi="Times New Roman CYR" w:cs="Times New Roman CYR"/>
          <w:sz w:val="28"/>
          <w:szCs w:val="28"/>
        </w:rPr>
        <w:t>/ 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1.</w:t>
      </w:r>
    </w:p>
    <w:p w14:paraId="5F7FFF36" w14:textId="77777777" w:rsidR="00000000" w:rsidRDefault="00000000">
      <w:pPr>
        <w:ind w:firstLine="709"/>
        <w:rPr>
          <w:rFonts w:ascii="Times New Roman CYR" w:hAnsi="Times New Roman CYR" w:cs="Times New Roman CYR"/>
          <w:sz w:val="28"/>
          <w:szCs w:val="28"/>
        </w:rPr>
      </w:pPr>
    </w:p>
    <w:p w14:paraId="4C6EA624" w14:textId="10839C39"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br w:type="page"/>
      </w:r>
      <w:r w:rsidR="00491361">
        <w:rPr>
          <w:rFonts w:ascii="Microsoft Sans Serif" w:hAnsi="Microsoft Sans Serif" w:cs="Microsoft Sans Serif"/>
          <w:noProof/>
          <w:sz w:val="17"/>
          <w:szCs w:val="17"/>
        </w:rPr>
        <w:drawing>
          <wp:inline distT="0" distB="0" distL="0" distR="0" wp14:anchorId="1231D2AE" wp14:editId="177577DA">
            <wp:extent cx="3352800" cy="218694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52800" cy="2186940"/>
                    </a:xfrm>
                    <a:prstGeom prst="rect">
                      <a:avLst/>
                    </a:prstGeom>
                    <a:noFill/>
                    <a:ln>
                      <a:noFill/>
                    </a:ln>
                  </pic:spPr>
                </pic:pic>
              </a:graphicData>
            </a:graphic>
          </wp:inline>
        </w:drawing>
      </w:r>
    </w:p>
    <w:p w14:paraId="4BE87FA8" w14:textId="77777777" w:rsidR="00000000" w:rsidRDefault="00000000">
      <w:pPr>
        <w:ind w:firstLine="709"/>
        <w:rPr>
          <w:rFonts w:ascii="Times New Roman CYR" w:hAnsi="Times New Roman CYR" w:cs="Times New Roman CYR"/>
          <w:sz w:val="28"/>
          <w:szCs w:val="28"/>
        </w:rPr>
      </w:pPr>
    </w:p>
    <w:p w14:paraId="31761BEF"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Рис. Изменение буферной емкости (1) и изменение рН кислотной буферной системы при добавлении к ней определенного количества сильной кислоты (2) в зависимости от содержания её компонентов</w:t>
      </w:r>
    </w:p>
    <w:p w14:paraId="1B1A79BE" w14:textId="77777777" w:rsidR="00000000" w:rsidRDefault="00000000">
      <w:pPr>
        <w:ind w:firstLine="709"/>
        <w:rPr>
          <w:rFonts w:ascii="Times New Roman CYR" w:hAnsi="Times New Roman CYR" w:cs="Times New Roman CYR"/>
          <w:sz w:val="28"/>
          <w:szCs w:val="28"/>
        </w:rPr>
      </w:pPr>
    </w:p>
    <w:p w14:paraId="61BD204C"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Данные растворы будут иметь примерно одинаковые значения буферной емкости как по кислоте, так и по основанию.</w:t>
      </w:r>
    </w:p>
    <w:p w14:paraId="2F8CFF3E"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Если же соотношение концентраций компонентов буферной системы не равно 1, то значения ее буферной емкости по основанию и кислоте будут отличаться друг от друга (причем тем существеннее, чем в большей степени соотношение С</w:t>
      </w:r>
      <w:r>
        <w:rPr>
          <w:rFonts w:ascii="Times New Roman CYR" w:hAnsi="Times New Roman CYR" w:cs="Times New Roman CYR"/>
          <w:sz w:val="28"/>
          <w:szCs w:val="28"/>
          <w:vertAlign w:val="subscript"/>
        </w:rPr>
        <w:t>кислоты</w:t>
      </w:r>
      <w:r>
        <w:rPr>
          <w:rFonts w:ascii="Times New Roman CYR" w:hAnsi="Times New Roman CYR" w:cs="Times New Roman CYR"/>
          <w:sz w:val="28"/>
          <w:szCs w:val="28"/>
        </w:rPr>
        <w:t>/С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и С</w:t>
      </w:r>
      <w:r>
        <w:rPr>
          <w:rFonts w:ascii="Times New Roman CYR" w:hAnsi="Times New Roman CYR" w:cs="Times New Roman CYR"/>
          <w:sz w:val="28"/>
          <w:szCs w:val="28"/>
          <w:vertAlign w:val="subscript"/>
        </w:rPr>
        <w:t>основания</w:t>
      </w:r>
      <w:r>
        <w:rPr>
          <w:rFonts w:ascii="Times New Roman CYR" w:hAnsi="Times New Roman CYR" w:cs="Times New Roman CYR"/>
          <w:sz w:val="28"/>
          <w:szCs w:val="28"/>
        </w:rPr>
        <w:t>/С</w:t>
      </w:r>
      <w:r>
        <w:rPr>
          <w:rFonts w:ascii="Times New Roman CYR" w:hAnsi="Times New Roman CYR" w:cs="Times New Roman CYR"/>
          <w:sz w:val="28"/>
          <w:szCs w:val="28"/>
          <w:vertAlign w:val="subscript"/>
        </w:rPr>
        <w:t>соли</w:t>
      </w:r>
      <w:r>
        <w:rPr>
          <w:rFonts w:ascii="Times New Roman CYR" w:hAnsi="Times New Roman CYR" w:cs="Times New Roman CYR"/>
          <w:sz w:val="28"/>
          <w:szCs w:val="28"/>
        </w:rPr>
        <w:t xml:space="preserve"> отклоняется от единицы).</w:t>
      </w:r>
    </w:p>
    <w:p w14:paraId="4F28BC1F" w14:textId="77777777" w:rsidR="00000000" w:rsidRDefault="00000000">
      <w:pPr>
        <w:ind w:firstLine="709"/>
        <w:rPr>
          <w:rFonts w:ascii="Times New Roman CYR" w:hAnsi="Times New Roman CYR" w:cs="Times New Roman CYR"/>
          <w:sz w:val="28"/>
          <w:szCs w:val="28"/>
        </w:rPr>
      </w:pPr>
      <w:r>
        <w:rPr>
          <w:rFonts w:ascii="Times New Roman CYR" w:hAnsi="Times New Roman CYR" w:cs="Times New Roman CYR"/>
          <w:sz w:val="28"/>
          <w:szCs w:val="28"/>
        </w:rPr>
        <w:t>Например, если в кислотной буферной системе солевой компоненты содержится больше чем слабой кислоты, то ее буферная емкость по кислоте будет выше чем по основанию, т.е. В</w:t>
      </w:r>
      <w:r>
        <w:rPr>
          <w:rFonts w:ascii="Times New Roman CYR" w:hAnsi="Times New Roman CYR" w:cs="Times New Roman CYR"/>
          <w:sz w:val="28"/>
          <w:szCs w:val="28"/>
          <w:vertAlign w:val="subscript"/>
        </w:rPr>
        <w:t>к.</w:t>
      </w:r>
      <w:r>
        <w:rPr>
          <w:rFonts w:ascii="Times New Roman CYR" w:hAnsi="Times New Roman CYR" w:cs="Times New Roman CYR"/>
          <w:sz w:val="28"/>
          <w:szCs w:val="28"/>
        </w:rPr>
        <w:t xml:space="preserve"> &gt; В</w:t>
      </w:r>
      <w:r>
        <w:rPr>
          <w:rFonts w:ascii="Times New Roman CYR" w:hAnsi="Times New Roman CYR" w:cs="Times New Roman CYR"/>
          <w:sz w:val="28"/>
          <w:szCs w:val="28"/>
          <w:vertAlign w:val="subscript"/>
        </w:rPr>
        <w:t>о.</w:t>
      </w:r>
      <w:r>
        <w:rPr>
          <w:rFonts w:ascii="Times New Roman CYR" w:hAnsi="Times New Roman CYR" w:cs="Times New Roman CYR"/>
          <w:sz w:val="28"/>
          <w:szCs w:val="28"/>
        </w:rPr>
        <w:t xml:space="preserve"> Соответственно буферная емкость по кислоте для основной буферной системы будет больше чем по основанию в том случае, если содержание солевой компоненты в этом случае будет меньше чем слабого основания. Таким образом можно сделать вывод, что в данных случаях буферная емкость выше по тому веществу, которое реагирует с избыточным компонентом буферного раствора. Если буферная система не обладает достаточной буферной емкостью, то ее можно повысить, увеличив концентрацию обоих компонентов в необходимое количество раз.</w:t>
      </w:r>
    </w:p>
    <w:p w14:paraId="68C5DFDB" w14:textId="77777777" w:rsidR="00000000" w:rsidRDefault="00000000">
      <w:pPr>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sz w:val="28"/>
          <w:szCs w:val="28"/>
        </w:rPr>
        <w:br w:type="page"/>
      </w:r>
      <w:r>
        <w:rPr>
          <w:rFonts w:ascii="Times New Roman CYR" w:hAnsi="Times New Roman CYR" w:cs="Times New Roman CYR"/>
          <w:b/>
          <w:bCs/>
          <w:sz w:val="28"/>
          <w:szCs w:val="28"/>
        </w:rPr>
        <w:t>Буферные системы человеческого организма</w:t>
      </w:r>
    </w:p>
    <w:p w14:paraId="0A29B24C" w14:textId="77777777" w:rsidR="00000000" w:rsidRDefault="00000000">
      <w:pPr>
        <w:spacing w:line="360" w:lineRule="auto"/>
        <w:ind w:firstLine="709"/>
        <w:jc w:val="both"/>
        <w:rPr>
          <w:rFonts w:ascii="Times New Roman CYR" w:hAnsi="Times New Roman CYR" w:cs="Times New Roman CYR"/>
          <w:sz w:val="28"/>
          <w:szCs w:val="28"/>
        </w:rPr>
      </w:pPr>
    </w:p>
    <w:p w14:paraId="7CA9CA0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организме человека в результате протекания различных метаболических процессов постоянно образуются большие количества кислых продуктов. Среднесуточная норма их выделения соответствует 20-30 литрам раствора сильной кислоты с молярной концентрацией химического эквивалента кислоты равной 0,1 моль/л (или 2000-3000 ммоль химического эквивалента кислоты).</w:t>
      </w:r>
    </w:p>
    <w:p w14:paraId="18B74B47"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Образуются при этом и основные продукты: аммиак, мочевина, креатин и др., - но только в гораздо меньшей степени.</w:t>
      </w:r>
    </w:p>
    <w:p w14:paraId="4ACF9E3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состав кислых продуктов обмена веществ входят как неорганические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так и органические (молочная, масляная, пировиноградная и др.) кислоты.</w:t>
      </w:r>
    </w:p>
    <w:p w14:paraId="19F5590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Соляная кислота секретируется париетальными гландулацитами и выделяется в полость желудка со скоростью 1-4 ммоль/час.</w:t>
      </w:r>
    </w:p>
    <w:p w14:paraId="7465527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Угольная кислота является конечным продуктом окисления липидов, углеводов, белков и различных других биоорганических веществ. В пересчете на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ежесуточно ее образуется до 13 молей.</w:t>
      </w:r>
    </w:p>
    <w:p w14:paraId="6E194870"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Серная кислота выделяется при окислении белков, поскольку в их состав входят серосодержащие аминокислоты: метионин, цистеин.</w:t>
      </w:r>
    </w:p>
    <w:p w14:paraId="5AFCED4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усвоении 100 г белка выделяется около 60 ммоль химического эквивалента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w:t>
      </w:r>
    </w:p>
    <w:p w14:paraId="342832C9"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Молочная кислота в большом количестве образуется в мышечных тканях при физических нагрузках.</w:t>
      </w:r>
    </w:p>
    <w:p w14:paraId="0531090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Из кишечника и тканей образовавшиеся при обмене веществ кислые и основные продукты постоянно поступают в кровь и межклеточную жидкость. Однако подкисление этих сред не происходит и их водородный показатель поддерживается на определенном постоянном уровне. Так значения рН большей части внутриклеточных жидкостей находится в интервале от 6,4 до 7,8, межклеточной жидкости - 6,8-7,4 (в зависимости от вида тканей). Особенно жесткие ограничения на возможные колебания значений рН накладываются на кровь. Состоянию нормы соответствует интервал значений рН = 7,4±0,05.</w:t>
      </w:r>
    </w:p>
    <w:p w14:paraId="4533703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Постоянство кислотно-основного состава биологических жидкостей человеческого организма достигается совместным действием различных буферных систем и ряда физиологических механизмов. К последним прежде всего относятся деятельность легких и выделительная функция почек, кишечника, клеток кожи.</w:t>
      </w:r>
    </w:p>
    <w:p w14:paraId="6164A35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Основными буферными системами человеческого организма являются: </w:t>
      </w:r>
      <w:r>
        <w:rPr>
          <w:rFonts w:ascii="Times New Roman CYR" w:hAnsi="Times New Roman CYR" w:cs="Times New Roman CYR"/>
          <w:b/>
          <w:bCs/>
          <w:sz w:val="28"/>
          <w:szCs w:val="28"/>
        </w:rPr>
        <w:t>гидрокарбонатная (бикарбонатная), фосфатная, белковая, гемоглобиновая и оксигемоглобиновая</w:t>
      </w:r>
      <w:r>
        <w:rPr>
          <w:rFonts w:ascii="Times New Roman CYR" w:hAnsi="Times New Roman CYR" w:cs="Times New Roman CYR"/>
          <w:sz w:val="28"/>
          <w:szCs w:val="28"/>
        </w:rPr>
        <w:t>. В различных количествах и сочетаниях они присутствуют в той или иной биологической жидкости. Причем только кровь содержит в своем составе все четыре системы.</w:t>
      </w:r>
    </w:p>
    <w:p w14:paraId="6CDAB3F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Кровь представляет собой взвесь клеток в жидкой среде и поэтому ее кислотно-основное равновесие поддерживается совместным участием буферных систем плазмы и клеток крови.</w:t>
      </w:r>
    </w:p>
    <w:p w14:paraId="1D360A0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Бикарбонатная буферная система </w:t>
      </w:r>
      <w:r>
        <w:rPr>
          <w:rFonts w:ascii="Times New Roman CYR" w:hAnsi="Times New Roman CYR" w:cs="Times New Roman CYR"/>
          <w:sz w:val="28"/>
          <w:szCs w:val="28"/>
        </w:rPr>
        <w:t>является самой регулируемой системой крови. На ее долю приходится около 10% всей буферной емкости крови. Она представляет собой сопряженную кислотно-основную пару, состоящую из гидратов молекул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 (выполняющих роль доноров протонов) и гидрокарбонат ионов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(выполняющих роль акцептора протонов).</w:t>
      </w:r>
    </w:p>
    <w:p w14:paraId="3D2AA01B"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Гидрокарбонаты в плазме крови и в других межклеточных жидкостях находятся главным образом в виде натриевой соли </w:t>
      </w:r>
      <w:r>
        <w:rPr>
          <w:rFonts w:ascii="Times New Roman CYR" w:hAnsi="Times New Roman CYR" w:cs="Times New Roman CYR"/>
          <w:sz w:val="28"/>
          <w:szCs w:val="28"/>
          <w:lang w:val="en-US"/>
        </w:rPr>
        <w:t>Na</w:t>
      </w:r>
      <w:r>
        <w:rPr>
          <w:rFonts w:ascii="Times New Roman CYR" w:hAnsi="Times New Roman CYR" w:cs="Times New Roman CYR"/>
          <w:sz w:val="28"/>
          <w:szCs w:val="28"/>
        </w:rPr>
        <w:t>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а внутри клеток - калиевой соли.</w:t>
      </w:r>
    </w:p>
    <w:p w14:paraId="274CFA2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Концентрация ионов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в плазме крови превышает концентрацию растворенного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примерно в 20 раз.</w:t>
      </w:r>
    </w:p>
    <w:p w14:paraId="4F26B6C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выделении в кровь относительно больших количеств кислых продуктов ионы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взаимодействуют с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1B3E40F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t>Последующее снижение концентрации получившегося СО2 достигается в результате его ускоренного выделения через легкие в результате их гипервентиляции.</w:t>
      </w:r>
    </w:p>
    <w:p w14:paraId="3E4E18D2" w14:textId="77777777" w:rsidR="00000000" w:rsidRDefault="00000000">
      <w:pPr>
        <w:spacing w:line="360" w:lineRule="auto"/>
        <w:ind w:firstLine="709"/>
        <w:jc w:val="both"/>
        <w:rPr>
          <w:rFonts w:ascii="Times New Roman CYR" w:hAnsi="Times New Roman CYR" w:cs="Times New Roman CYR"/>
          <w:sz w:val="28"/>
          <w:szCs w:val="28"/>
        </w:rPr>
      </w:pPr>
    </w:p>
    <w:p w14:paraId="551AFDC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СО</w:t>
      </w:r>
      <w:r>
        <w:rPr>
          <w:rFonts w:ascii="Times New Roman CYR" w:hAnsi="Times New Roman CYR" w:cs="Times New Roman CYR"/>
          <w:sz w:val="28"/>
          <w:szCs w:val="28"/>
          <w:vertAlign w:val="subscript"/>
        </w:rPr>
        <w:t>3</w:t>
      </w:r>
    </w:p>
    <w:p w14:paraId="07861B01" w14:textId="77777777" w:rsidR="00000000" w:rsidRDefault="00000000">
      <w:pPr>
        <w:spacing w:line="360" w:lineRule="auto"/>
        <w:ind w:firstLine="709"/>
        <w:jc w:val="both"/>
        <w:rPr>
          <w:rFonts w:ascii="Times New Roman CYR" w:hAnsi="Times New Roman CYR" w:cs="Times New Roman CYR"/>
          <w:sz w:val="28"/>
          <w:szCs w:val="28"/>
        </w:rPr>
      </w:pPr>
    </w:p>
    <w:p w14:paraId="3EC69DD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Если же в крови увеличивается количество основных продуктов, то происходит их взаимодействие со слабой угольной кислотой:</w:t>
      </w:r>
    </w:p>
    <w:p w14:paraId="64A184C9" w14:textId="77777777" w:rsidR="00000000" w:rsidRDefault="00000000">
      <w:pPr>
        <w:spacing w:line="360" w:lineRule="auto"/>
        <w:ind w:firstLine="709"/>
        <w:jc w:val="both"/>
        <w:rPr>
          <w:rFonts w:ascii="Times New Roman CYR" w:hAnsi="Times New Roman CYR" w:cs="Times New Roman CYR"/>
          <w:sz w:val="28"/>
          <w:szCs w:val="28"/>
        </w:rPr>
      </w:pPr>
    </w:p>
    <w:p w14:paraId="23700AC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w:t>
      </w:r>
    </w:p>
    <w:p w14:paraId="1C5971FF" w14:textId="77777777" w:rsidR="00000000" w:rsidRDefault="00000000">
      <w:pPr>
        <w:spacing w:line="360" w:lineRule="auto"/>
        <w:ind w:firstLine="709"/>
        <w:jc w:val="both"/>
        <w:rPr>
          <w:rFonts w:ascii="Times New Roman CYR" w:hAnsi="Times New Roman CYR" w:cs="Times New Roman CYR"/>
          <w:sz w:val="28"/>
          <w:szCs w:val="28"/>
        </w:rPr>
      </w:pPr>
    </w:p>
    <w:p w14:paraId="2E76FBF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этом концентрация растворенного углекислого газа в крови уменьшается. Для сохранения нормального соотношения между компонентами буферной системы происходит физиологическая задержка в плазме крови некоторого количества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за счет гиповентиляции легких.</w:t>
      </w:r>
    </w:p>
    <w:p w14:paraId="25ADBCC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Фосфатная буферная система</w:t>
      </w:r>
      <w:r>
        <w:rPr>
          <w:rFonts w:ascii="Times New Roman CYR" w:hAnsi="Times New Roman CYR" w:cs="Times New Roman CYR"/>
          <w:sz w:val="28"/>
          <w:szCs w:val="28"/>
        </w:rPr>
        <w:t xml:space="preserve"> представляет собой сопряженную кислотно-осн</w:t>
      </w:r>
      <w:r>
        <w:rPr>
          <w:rFonts w:ascii="Times New Roman" w:hAnsi="Times New Roman" w:cs="Times New Roman"/>
          <w:sz w:val="28"/>
          <w:szCs w:val="28"/>
        </w:rPr>
        <w:t>ó</w:t>
      </w:r>
      <w:r>
        <w:rPr>
          <w:rFonts w:ascii="Times New Roman CYR" w:hAnsi="Times New Roman CYR" w:cs="Times New Roman CYR"/>
          <w:sz w:val="28"/>
          <w:szCs w:val="28"/>
        </w:rPr>
        <w:t>вную пару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РО</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/НРО</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w:t>
      </w:r>
    </w:p>
    <w:p w14:paraId="1530DE8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Роль кислоты выполняет дигидрофосфат натрия </w:t>
      </w:r>
      <w:r>
        <w:rPr>
          <w:rFonts w:ascii="Times New Roman CYR" w:hAnsi="Times New Roman CYR" w:cs="Times New Roman CYR"/>
          <w:sz w:val="28"/>
          <w:szCs w:val="28"/>
          <w:lang w:val="en-US"/>
        </w:rPr>
        <w:t>NaH</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а роль ее соли - гидрофосфат натрия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rPr>
        <w:t>2</w:t>
      </w:r>
      <w:r>
        <w:rPr>
          <w:rFonts w:ascii="Times New Roman CYR" w:hAnsi="Times New Roman CYR" w:cs="Times New Roman CYR"/>
          <w:sz w:val="28"/>
          <w:szCs w:val="28"/>
          <w:lang w:val="en-US"/>
        </w:rPr>
        <w:t>HPO</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Фосфатная буферная система составляет всего лишь 1% буферной емкости крови. Отношение С(Н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РО</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)/С(НРО</w:t>
      </w:r>
      <w:r>
        <w:rPr>
          <w:rFonts w:ascii="Times New Roman CYR" w:hAnsi="Times New Roman CYR" w:cs="Times New Roman CYR"/>
          <w:sz w:val="28"/>
          <w:szCs w:val="28"/>
          <w:vertAlign w:val="subscript"/>
        </w:rPr>
        <w:t>4</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в ней равно 1 : 4 и не изменяется со временем, т.к., избыточное количество какого-либо из компонентов выделяется с мочой, правда, это происходит в течение 1-2 суток, т.е. не так быстро, как в случае гидрокарбонатного буфера.</w:t>
      </w:r>
    </w:p>
    <w:p w14:paraId="0ED6145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Фосфатная буферная система играет решающую роль в других биологических средах: некоторых внутриклеточных жидкостях, моче, выделениях (или соках) пищеварительных желез.</w:t>
      </w:r>
    </w:p>
    <w:p w14:paraId="45D7675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Белковый буфер</w:t>
      </w:r>
      <w:r>
        <w:rPr>
          <w:rFonts w:ascii="Times New Roman CYR" w:hAnsi="Times New Roman CYR" w:cs="Times New Roman CYR"/>
          <w:sz w:val="28"/>
          <w:szCs w:val="28"/>
        </w:rPr>
        <w:t xml:space="preserve"> представляет собой систему из белковых (протеиновых) молекул, содержащих в своих аминокислотных остатках как кислотные СООН-группы, так и осн</w:t>
      </w:r>
      <w:r>
        <w:rPr>
          <w:rFonts w:ascii="Times New Roman" w:hAnsi="Times New Roman" w:cs="Times New Roman"/>
          <w:sz w:val="28"/>
          <w:szCs w:val="28"/>
        </w:rPr>
        <w:t>ó</w:t>
      </w:r>
      <w:r>
        <w:rPr>
          <w:rFonts w:ascii="Times New Roman CYR" w:hAnsi="Times New Roman CYR" w:cs="Times New Roman CYR"/>
          <w:sz w:val="28"/>
          <w:szCs w:val="28"/>
        </w:rPr>
        <w:t xml:space="preserve">вные </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-группы, выполняющие роль слабой кислоты и основания. Компоненты этого буфера могут быть условно выражены следующим образом:</w:t>
      </w:r>
    </w:p>
    <w:p w14:paraId="73A503C5"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142" w:type="dxa"/>
        <w:tblLayout w:type="fixed"/>
        <w:tblLook w:val="0000" w:firstRow="0" w:lastRow="0" w:firstColumn="0" w:lastColumn="0" w:noHBand="0" w:noVBand="0"/>
      </w:tblPr>
      <w:tblGrid>
        <w:gridCol w:w="486"/>
        <w:gridCol w:w="2352"/>
        <w:gridCol w:w="588"/>
        <w:gridCol w:w="2802"/>
        <w:gridCol w:w="2135"/>
      </w:tblGrid>
      <w:tr w:rsidR="00000000" w14:paraId="1D3F75E8" w14:textId="77777777">
        <w:tblPrEx>
          <w:tblCellMar>
            <w:top w:w="0" w:type="dxa"/>
            <w:bottom w:w="0" w:type="dxa"/>
          </w:tblCellMar>
        </w:tblPrEx>
        <w:tc>
          <w:tcPr>
            <w:tcW w:w="486" w:type="dxa"/>
            <w:tcBorders>
              <w:top w:val="nil"/>
              <w:left w:val="nil"/>
              <w:bottom w:val="nil"/>
              <w:right w:val="nil"/>
            </w:tcBorders>
          </w:tcPr>
          <w:p w14:paraId="1C8E841F"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1)</w:t>
            </w:r>
          </w:p>
        </w:tc>
        <w:tc>
          <w:tcPr>
            <w:tcW w:w="2352" w:type="dxa"/>
            <w:tcBorders>
              <w:top w:val="nil"/>
              <w:left w:val="nil"/>
              <w:bottom w:val="nil"/>
              <w:right w:val="nil"/>
            </w:tcBorders>
          </w:tcPr>
          <w:p w14:paraId="226F4DF0"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Pt-COOH</w:t>
            </w:r>
          </w:p>
        </w:tc>
        <w:tc>
          <w:tcPr>
            <w:tcW w:w="588" w:type="dxa"/>
            <w:tcBorders>
              <w:top w:val="nil"/>
              <w:left w:val="nil"/>
              <w:bottom w:val="nil"/>
              <w:right w:val="nil"/>
            </w:tcBorders>
          </w:tcPr>
          <w:p w14:paraId="230DBE4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w:t>
            </w:r>
          </w:p>
        </w:tc>
        <w:tc>
          <w:tcPr>
            <w:tcW w:w="2802" w:type="dxa"/>
            <w:tcBorders>
              <w:top w:val="nil"/>
              <w:left w:val="nil"/>
              <w:bottom w:val="nil"/>
              <w:right w:val="nil"/>
            </w:tcBorders>
          </w:tcPr>
          <w:p w14:paraId="6148F484"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Pt-COONa</w:t>
            </w:r>
          </w:p>
        </w:tc>
        <w:tc>
          <w:tcPr>
            <w:tcW w:w="2135" w:type="dxa"/>
            <w:tcBorders>
              <w:top w:val="nil"/>
              <w:left w:val="nil"/>
              <w:bottom w:val="nil"/>
              <w:right w:val="nil"/>
            </w:tcBorders>
          </w:tcPr>
          <w:p w14:paraId="46D96689" w14:textId="77777777" w:rsidR="00000000" w:rsidRDefault="00000000">
            <w:pPr>
              <w:rPr>
                <w:rFonts w:ascii="Times New Roman CYR" w:hAnsi="Times New Roman CYR" w:cs="Times New Roman CYR"/>
                <w:sz w:val="20"/>
                <w:szCs w:val="20"/>
                <w:lang w:val="en-US"/>
              </w:rPr>
            </w:pPr>
            <w:r>
              <w:rPr>
                <w:rFonts w:ascii="Times New Roman CYR" w:hAnsi="Times New Roman CYR" w:cs="Times New Roman CYR"/>
                <w:sz w:val="20"/>
                <w:szCs w:val="20"/>
                <w:lang w:val="en-US"/>
              </w:rPr>
              <w:t>Pt-COOH</w:t>
            </w:r>
            <w:r>
              <w:rPr>
                <w:rFonts w:ascii="Times New Roman CYR" w:hAnsi="Times New Roman CYR" w:cs="Times New Roman CYR"/>
                <w:sz w:val="20"/>
                <w:szCs w:val="20"/>
              </w:rPr>
              <w:t xml:space="preserve"> </w:t>
            </w:r>
            <w:r>
              <w:rPr>
                <w:rFonts w:ascii="Times New Roman CYR" w:hAnsi="Times New Roman CYR" w:cs="Times New Roman CYR"/>
                <w:sz w:val="20"/>
                <w:szCs w:val="20"/>
                <w:lang w:val="en-US"/>
              </w:rPr>
              <w:t>/</w:t>
            </w:r>
            <w:r>
              <w:rPr>
                <w:rFonts w:ascii="Times New Roman CYR" w:hAnsi="Times New Roman CYR" w:cs="Times New Roman CYR"/>
                <w:sz w:val="20"/>
                <w:szCs w:val="20"/>
              </w:rPr>
              <w:t xml:space="preserve"> </w:t>
            </w:r>
            <w:r>
              <w:rPr>
                <w:rFonts w:ascii="Times New Roman CYR" w:hAnsi="Times New Roman CYR" w:cs="Times New Roman CYR"/>
                <w:sz w:val="20"/>
                <w:szCs w:val="20"/>
                <w:lang w:val="en-US"/>
              </w:rPr>
              <w:t>Pt-COO</w:t>
            </w:r>
            <w:r>
              <w:rPr>
                <w:rFonts w:ascii="Times New Roman CYR" w:hAnsi="Times New Roman CYR" w:cs="Times New Roman CYR"/>
                <w:sz w:val="20"/>
                <w:szCs w:val="20"/>
                <w:vertAlign w:val="superscript"/>
              </w:rPr>
              <w:t>-</w:t>
            </w:r>
          </w:p>
        </w:tc>
      </w:tr>
      <w:tr w:rsidR="00000000" w14:paraId="408EBB74" w14:textId="77777777">
        <w:tblPrEx>
          <w:tblCellMar>
            <w:top w:w="0" w:type="dxa"/>
            <w:bottom w:w="0" w:type="dxa"/>
          </w:tblCellMar>
        </w:tblPrEx>
        <w:tc>
          <w:tcPr>
            <w:tcW w:w="486" w:type="dxa"/>
            <w:tcBorders>
              <w:top w:val="nil"/>
              <w:left w:val="nil"/>
              <w:bottom w:val="nil"/>
              <w:right w:val="nil"/>
            </w:tcBorders>
          </w:tcPr>
          <w:p w14:paraId="269AFA7B" w14:textId="77777777" w:rsidR="00000000" w:rsidRDefault="00000000">
            <w:pPr>
              <w:rPr>
                <w:rFonts w:ascii="Times New Roman CYR" w:hAnsi="Times New Roman CYR" w:cs="Times New Roman CYR"/>
                <w:sz w:val="20"/>
                <w:szCs w:val="20"/>
              </w:rPr>
            </w:pPr>
          </w:p>
        </w:tc>
        <w:tc>
          <w:tcPr>
            <w:tcW w:w="2352" w:type="dxa"/>
            <w:tcBorders>
              <w:top w:val="nil"/>
              <w:left w:val="nil"/>
              <w:bottom w:val="nil"/>
              <w:right w:val="nil"/>
            </w:tcBorders>
          </w:tcPr>
          <w:p w14:paraId="2288192D"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слабодиссоциированная белок-кислота</w:t>
            </w:r>
          </w:p>
        </w:tc>
        <w:tc>
          <w:tcPr>
            <w:tcW w:w="588" w:type="dxa"/>
            <w:tcBorders>
              <w:top w:val="nil"/>
              <w:left w:val="nil"/>
              <w:bottom w:val="nil"/>
              <w:right w:val="nil"/>
            </w:tcBorders>
          </w:tcPr>
          <w:p w14:paraId="5A3A9AAE" w14:textId="77777777" w:rsidR="00000000" w:rsidRDefault="00000000">
            <w:pPr>
              <w:rPr>
                <w:rFonts w:ascii="Times New Roman CYR" w:hAnsi="Times New Roman CYR" w:cs="Times New Roman CYR"/>
                <w:sz w:val="20"/>
                <w:szCs w:val="20"/>
              </w:rPr>
            </w:pPr>
          </w:p>
        </w:tc>
        <w:tc>
          <w:tcPr>
            <w:tcW w:w="2802" w:type="dxa"/>
            <w:tcBorders>
              <w:top w:val="nil"/>
              <w:left w:val="nil"/>
              <w:bottom w:val="nil"/>
              <w:right w:val="nil"/>
            </w:tcBorders>
          </w:tcPr>
          <w:p w14:paraId="154CDC0E"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 образованная сильным основанием</w:t>
            </w:r>
          </w:p>
        </w:tc>
        <w:tc>
          <w:tcPr>
            <w:tcW w:w="2135" w:type="dxa"/>
            <w:tcBorders>
              <w:top w:val="nil"/>
              <w:left w:val="nil"/>
              <w:bottom w:val="nil"/>
              <w:right w:val="nil"/>
            </w:tcBorders>
          </w:tcPr>
          <w:p w14:paraId="40A2CC91" w14:textId="77777777" w:rsidR="00000000" w:rsidRDefault="00000000">
            <w:pPr>
              <w:rPr>
                <w:rFonts w:ascii="Times New Roman CYR" w:hAnsi="Times New Roman CYR" w:cs="Times New Roman CYR"/>
                <w:sz w:val="20"/>
                <w:szCs w:val="20"/>
              </w:rPr>
            </w:pPr>
          </w:p>
        </w:tc>
      </w:tr>
      <w:tr w:rsidR="00000000" w14:paraId="7F971BAF" w14:textId="77777777">
        <w:tblPrEx>
          <w:tblCellMar>
            <w:top w:w="0" w:type="dxa"/>
            <w:bottom w:w="0" w:type="dxa"/>
          </w:tblCellMar>
        </w:tblPrEx>
        <w:tc>
          <w:tcPr>
            <w:tcW w:w="486" w:type="dxa"/>
            <w:tcBorders>
              <w:top w:val="nil"/>
              <w:left w:val="nil"/>
              <w:bottom w:val="nil"/>
              <w:right w:val="nil"/>
            </w:tcBorders>
          </w:tcPr>
          <w:p w14:paraId="3EBA36BE" w14:textId="77777777" w:rsidR="00000000" w:rsidRDefault="00000000">
            <w:pPr>
              <w:rPr>
                <w:rFonts w:ascii="Times New Roman CYR" w:hAnsi="Times New Roman CYR" w:cs="Times New Roman CYR"/>
                <w:sz w:val="20"/>
                <w:szCs w:val="20"/>
              </w:rPr>
            </w:pPr>
          </w:p>
        </w:tc>
        <w:tc>
          <w:tcPr>
            <w:tcW w:w="2352" w:type="dxa"/>
            <w:tcBorders>
              <w:top w:val="nil"/>
              <w:left w:val="nil"/>
              <w:bottom w:val="nil"/>
              <w:right w:val="nil"/>
            </w:tcBorders>
          </w:tcPr>
          <w:p w14:paraId="08D2FC8E" w14:textId="77777777" w:rsidR="00000000" w:rsidRDefault="00000000">
            <w:pPr>
              <w:rPr>
                <w:rFonts w:ascii="Times New Roman CYR" w:hAnsi="Times New Roman CYR" w:cs="Times New Roman CYR"/>
                <w:sz w:val="20"/>
                <w:szCs w:val="20"/>
              </w:rPr>
            </w:pPr>
          </w:p>
        </w:tc>
        <w:tc>
          <w:tcPr>
            <w:tcW w:w="588" w:type="dxa"/>
            <w:tcBorders>
              <w:top w:val="nil"/>
              <w:left w:val="nil"/>
              <w:bottom w:val="nil"/>
              <w:right w:val="nil"/>
            </w:tcBorders>
          </w:tcPr>
          <w:p w14:paraId="212F8BC9" w14:textId="77777777" w:rsidR="00000000" w:rsidRDefault="00000000">
            <w:pPr>
              <w:rPr>
                <w:rFonts w:ascii="Times New Roman CYR" w:hAnsi="Times New Roman CYR" w:cs="Times New Roman CYR"/>
                <w:sz w:val="20"/>
                <w:szCs w:val="20"/>
              </w:rPr>
            </w:pPr>
          </w:p>
        </w:tc>
        <w:tc>
          <w:tcPr>
            <w:tcW w:w="2802" w:type="dxa"/>
            <w:tcBorders>
              <w:top w:val="nil"/>
              <w:left w:val="nil"/>
              <w:bottom w:val="nil"/>
              <w:right w:val="nil"/>
            </w:tcBorders>
          </w:tcPr>
          <w:p w14:paraId="38125A56" w14:textId="77777777" w:rsidR="00000000" w:rsidRDefault="00000000">
            <w:pPr>
              <w:rPr>
                <w:rFonts w:ascii="Times New Roman CYR" w:hAnsi="Times New Roman CYR" w:cs="Times New Roman CYR"/>
                <w:sz w:val="20"/>
                <w:szCs w:val="20"/>
              </w:rPr>
            </w:pPr>
          </w:p>
        </w:tc>
        <w:tc>
          <w:tcPr>
            <w:tcW w:w="2135" w:type="dxa"/>
            <w:tcBorders>
              <w:top w:val="nil"/>
              <w:left w:val="nil"/>
              <w:bottom w:val="nil"/>
              <w:right w:val="nil"/>
            </w:tcBorders>
          </w:tcPr>
          <w:p w14:paraId="3320778D" w14:textId="77777777" w:rsidR="00000000" w:rsidRDefault="00000000">
            <w:pPr>
              <w:rPr>
                <w:rFonts w:ascii="Times New Roman CYR" w:hAnsi="Times New Roman CYR" w:cs="Times New Roman CYR"/>
                <w:sz w:val="20"/>
                <w:szCs w:val="20"/>
              </w:rPr>
            </w:pPr>
          </w:p>
        </w:tc>
      </w:tr>
      <w:tr w:rsidR="00000000" w14:paraId="248DC82E" w14:textId="77777777">
        <w:tblPrEx>
          <w:tblCellMar>
            <w:top w:w="0" w:type="dxa"/>
            <w:bottom w:w="0" w:type="dxa"/>
          </w:tblCellMar>
        </w:tblPrEx>
        <w:tc>
          <w:tcPr>
            <w:tcW w:w="486" w:type="dxa"/>
            <w:tcBorders>
              <w:top w:val="nil"/>
              <w:left w:val="nil"/>
              <w:bottom w:val="nil"/>
              <w:right w:val="nil"/>
            </w:tcBorders>
          </w:tcPr>
          <w:p w14:paraId="630E0301"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2)</w:t>
            </w:r>
          </w:p>
        </w:tc>
        <w:tc>
          <w:tcPr>
            <w:tcW w:w="2352" w:type="dxa"/>
            <w:tcBorders>
              <w:top w:val="nil"/>
              <w:left w:val="nil"/>
              <w:bottom w:val="nil"/>
              <w:right w:val="nil"/>
            </w:tcBorders>
          </w:tcPr>
          <w:p w14:paraId="2B96361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Pt</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rPr>
              <w:t>2</w:t>
            </w:r>
          </w:p>
        </w:tc>
        <w:tc>
          <w:tcPr>
            <w:tcW w:w="588" w:type="dxa"/>
            <w:tcBorders>
              <w:top w:val="nil"/>
              <w:left w:val="nil"/>
              <w:bottom w:val="nil"/>
              <w:right w:val="nil"/>
            </w:tcBorders>
          </w:tcPr>
          <w:p w14:paraId="3CA5424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2802" w:type="dxa"/>
            <w:tcBorders>
              <w:top w:val="nil"/>
              <w:left w:val="nil"/>
              <w:bottom w:val="nil"/>
              <w:right w:val="nil"/>
            </w:tcBorders>
          </w:tcPr>
          <w:p w14:paraId="2AEC93A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Pt</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rPr>
              <w:t>3</w:t>
            </w:r>
            <w:r>
              <w:rPr>
                <w:rFonts w:ascii="Times New Roman CYR" w:hAnsi="Times New Roman CYR" w:cs="Times New Roman CYR"/>
                <w:sz w:val="20"/>
                <w:szCs w:val="20"/>
                <w:lang w:val="en-US"/>
              </w:rPr>
              <w:t>Cl</w:t>
            </w:r>
          </w:p>
        </w:tc>
        <w:tc>
          <w:tcPr>
            <w:tcW w:w="2135" w:type="dxa"/>
            <w:tcBorders>
              <w:top w:val="nil"/>
              <w:left w:val="nil"/>
              <w:bottom w:val="nil"/>
              <w:right w:val="nil"/>
            </w:tcBorders>
          </w:tcPr>
          <w:p w14:paraId="50E9632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r>
              <w:rPr>
                <w:rFonts w:ascii="Times New Roman CYR" w:hAnsi="Times New Roman CYR" w:cs="Times New Roman CYR"/>
                <w:sz w:val="20"/>
                <w:szCs w:val="20"/>
                <w:lang w:val="en-US"/>
              </w:rPr>
              <w:t>Pt</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rPr>
              <w:t>2</w:t>
            </w:r>
            <w:r>
              <w:rPr>
                <w:rFonts w:ascii="Times New Roman CYR" w:hAnsi="Times New Roman CYR" w:cs="Times New Roman CYR"/>
                <w:sz w:val="20"/>
                <w:szCs w:val="20"/>
              </w:rPr>
              <w:t xml:space="preserve"> / </w:t>
            </w:r>
            <w:r>
              <w:rPr>
                <w:rFonts w:ascii="Times New Roman CYR" w:hAnsi="Times New Roman CYR" w:cs="Times New Roman CYR"/>
                <w:sz w:val="20"/>
                <w:szCs w:val="20"/>
                <w:lang w:val="en-US"/>
              </w:rPr>
              <w:t>Pt</w:t>
            </w:r>
            <w:r>
              <w:rPr>
                <w:rFonts w:ascii="Times New Roman CYR" w:hAnsi="Times New Roman CYR" w:cs="Times New Roman CYR"/>
                <w:sz w:val="20"/>
                <w:szCs w:val="20"/>
              </w:rPr>
              <w:t>-</w:t>
            </w:r>
            <w:r>
              <w:rPr>
                <w:rFonts w:ascii="Times New Roman CYR" w:hAnsi="Times New Roman CYR" w:cs="Times New Roman CYR"/>
                <w:sz w:val="20"/>
                <w:szCs w:val="20"/>
                <w:lang w:val="en-US"/>
              </w:rPr>
              <w:t>NH</w:t>
            </w:r>
            <w:r>
              <w:rPr>
                <w:rFonts w:ascii="Times New Roman CYR" w:hAnsi="Times New Roman CYR" w:cs="Times New Roman CYR"/>
                <w:sz w:val="20"/>
                <w:szCs w:val="20"/>
                <w:vertAlign w:val="subscript"/>
              </w:rPr>
              <w:t>3</w:t>
            </w:r>
            <w:r>
              <w:rPr>
                <w:rFonts w:ascii="Times New Roman CYR" w:hAnsi="Times New Roman CYR" w:cs="Times New Roman CYR"/>
                <w:sz w:val="20"/>
                <w:szCs w:val="20"/>
                <w:vertAlign w:val="superscript"/>
              </w:rPr>
              <w:t>+</w:t>
            </w:r>
          </w:p>
        </w:tc>
      </w:tr>
      <w:tr w:rsidR="00000000" w14:paraId="305203A9"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486" w:type="dxa"/>
            <w:tcBorders>
              <w:top w:val="nil"/>
              <w:left w:val="nil"/>
              <w:bottom w:val="nil"/>
              <w:right w:val="nil"/>
            </w:tcBorders>
          </w:tcPr>
          <w:p w14:paraId="6E454D99" w14:textId="77777777" w:rsidR="00000000" w:rsidRDefault="00000000">
            <w:pPr>
              <w:rPr>
                <w:rFonts w:ascii="Times New Roman CYR" w:hAnsi="Times New Roman CYR" w:cs="Times New Roman CYR"/>
                <w:sz w:val="20"/>
                <w:szCs w:val="20"/>
              </w:rPr>
            </w:pPr>
          </w:p>
        </w:tc>
        <w:tc>
          <w:tcPr>
            <w:tcW w:w="2352" w:type="dxa"/>
            <w:tcBorders>
              <w:top w:val="nil"/>
              <w:left w:val="nil"/>
              <w:bottom w:val="nil"/>
              <w:right w:val="nil"/>
            </w:tcBorders>
          </w:tcPr>
          <w:p w14:paraId="73BECBF5"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слабодиссоциированное белок-основание</w:t>
            </w:r>
          </w:p>
        </w:tc>
        <w:tc>
          <w:tcPr>
            <w:tcW w:w="588" w:type="dxa"/>
            <w:tcBorders>
              <w:top w:val="nil"/>
              <w:left w:val="nil"/>
              <w:bottom w:val="nil"/>
              <w:right w:val="nil"/>
            </w:tcBorders>
          </w:tcPr>
          <w:p w14:paraId="79A36D10" w14:textId="77777777" w:rsidR="00000000" w:rsidRDefault="00000000">
            <w:pPr>
              <w:rPr>
                <w:rFonts w:ascii="Times New Roman CYR" w:hAnsi="Times New Roman CYR" w:cs="Times New Roman CYR"/>
                <w:sz w:val="20"/>
                <w:szCs w:val="20"/>
              </w:rPr>
            </w:pPr>
          </w:p>
        </w:tc>
        <w:tc>
          <w:tcPr>
            <w:tcW w:w="2802" w:type="dxa"/>
            <w:tcBorders>
              <w:top w:val="nil"/>
              <w:left w:val="nil"/>
              <w:bottom w:val="nil"/>
              <w:right w:val="nil"/>
            </w:tcBorders>
          </w:tcPr>
          <w:p w14:paraId="0D9BF0C8"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 образованная сильной кислотой</w:t>
            </w:r>
          </w:p>
        </w:tc>
        <w:tc>
          <w:tcPr>
            <w:tcW w:w="2135" w:type="dxa"/>
            <w:tcBorders>
              <w:top w:val="nil"/>
              <w:left w:val="nil"/>
              <w:bottom w:val="nil"/>
              <w:right w:val="nil"/>
            </w:tcBorders>
          </w:tcPr>
          <w:p w14:paraId="3270E6C6" w14:textId="77777777" w:rsidR="00000000" w:rsidRDefault="00000000">
            <w:pPr>
              <w:rPr>
                <w:rFonts w:ascii="Times New Roman CYR" w:hAnsi="Times New Roman CYR" w:cs="Times New Roman CYR"/>
                <w:sz w:val="20"/>
                <w:szCs w:val="20"/>
              </w:rPr>
            </w:pPr>
          </w:p>
        </w:tc>
      </w:tr>
    </w:tbl>
    <w:p w14:paraId="55633A0B" w14:textId="77777777" w:rsidR="00000000" w:rsidRDefault="00000000">
      <w:pPr>
        <w:spacing w:line="360" w:lineRule="auto"/>
        <w:ind w:firstLine="709"/>
        <w:jc w:val="both"/>
        <w:rPr>
          <w:rFonts w:ascii="Times New Roman CYR" w:hAnsi="Times New Roman CYR" w:cs="Times New Roman CYR"/>
          <w:sz w:val="28"/>
          <w:szCs w:val="28"/>
        </w:rPr>
      </w:pPr>
    </w:p>
    <w:p w14:paraId="5AB6950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Таким образом, белковый буфер по своему составу является амфотерным. При увеличении концентрации кислых продуктов с ионами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могут взаимодействовать как белок-соль (</w:t>
      </w:r>
      <w:r>
        <w:rPr>
          <w:rFonts w:ascii="Times New Roman CYR" w:hAnsi="Times New Roman CYR" w:cs="Times New Roman CYR"/>
          <w:sz w:val="28"/>
          <w:szCs w:val="28"/>
          <w:lang w:val="en-US"/>
        </w:rPr>
        <w:t>Pt</w:t>
      </w:r>
      <w:r>
        <w:rPr>
          <w:rFonts w:ascii="Times New Roman CYR" w:hAnsi="Times New Roman CYR" w:cs="Times New Roman CYR"/>
          <w:sz w:val="28"/>
          <w:szCs w:val="28"/>
        </w:rPr>
        <w:t>-СОО</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так и белок-основание (</w:t>
      </w: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w:t>
      </w:r>
    </w:p>
    <w:p w14:paraId="29812ADB" w14:textId="77777777" w:rsidR="00000000" w:rsidRDefault="00000000">
      <w:pPr>
        <w:spacing w:line="360" w:lineRule="auto"/>
        <w:ind w:firstLine="709"/>
        <w:jc w:val="both"/>
        <w:rPr>
          <w:rFonts w:ascii="Times New Roman CYR" w:hAnsi="Times New Roman CYR" w:cs="Times New Roman CYR"/>
          <w:sz w:val="28"/>
          <w:szCs w:val="28"/>
        </w:rPr>
      </w:pPr>
    </w:p>
    <w:p w14:paraId="5B55D53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COOH</w:t>
      </w:r>
    </w:p>
    <w:p w14:paraId="06E0BD8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p>
    <w:p w14:paraId="76D2A546" w14:textId="77777777" w:rsidR="00000000" w:rsidRDefault="00000000">
      <w:pPr>
        <w:spacing w:line="360" w:lineRule="auto"/>
        <w:ind w:firstLine="709"/>
        <w:jc w:val="both"/>
        <w:rPr>
          <w:rFonts w:ascii="Times New Roman CYR" w:hAnsi="Times New Roman CYR" w:cs="Times New Roman CYR"/>
          <w:sz w:val="28"/>
          <w:szCs w:val="28"/>
        </w:rPr>
      </w:pPr>
    </w:p>
    <w:p w14:paraId="0A1B5D1A"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Нейтрализацию основных продуктов обмена веществ осуществляют за счет взаимодействия с ионами ОН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как белок - кислота (</w:t>
      </w:r>
      <w:r>
        <w:rPr>
          <w:rFonts w:ascii="Times New Roman CYR" w:hAnsi="Times New Roman CYR" w:cs="Times New Roman CYR"/>
          <w:sz w:val="28"/>
          <w:szCs w:val="28"/>
          <w:lang w:val="en-US"/>
        </w:rPr>
        <w:t>Pt</w:t>
      </w:r>
      <w:r>
        <w:rPr>
          <w:rFonts w:ascii="Times New Roman CYR" w:hAnsi="Times New Roman CYR" w:cs="Times New Roman CYR"/>
          <w:sz w:val="28"/>
          <w:szCs w:val="28"/>
        </w:rPr>
        <w:t>-СООН), так и белок-соль (</w:t>
      </w: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w:t>
      </w:r>
    </w:p>
    <w:p w14:paraId="56CF6CDC" w14:textId="77777777" w:rsidR="00000000" w:rsidRDefault="00000000">
      <w:pPr>
        <w:spacing w:line="360" w:lineRule="auto"/>
        <w:ind w:firstLine="709"/>
        <w:jc w:val="both"/>
        <w:rPr>
          <w:rFonts w:ascii="Times New Roman CYR" w:hAnsi="Times New Roman CYR" w:cs="Times New Roman CYR"/>
          <w:sz w:val="28"/>
          <w:szCs w:val="28"/>
        </w:rPr>
      </w:pPr>
    </w:p>
    <w:p w14:paraId="6E90198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COO</w:t>
      </w:r>
      <w:r>
        <w:rPr>
          <w:rFonts w:ascii="Times New Roman CYR" w:hAnsi="Times New Roman CYR" w:cs="Times New Roman CYR"/>
          <w:sz w:val="28"/>
          <w:szCs w:val="28"/>
        </w:rPr>
        <w:t xml:space="preserve">Н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COO</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w:t>
      </w:r>
    </w:p>
    <w:p w14:paraId="29300F3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OH</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Pt</w:t>
      </w:r>
      <w:r>
        <w:rPr>
          <w:rFonts w:ascii="Times New Roman CYR" w:hAnsi="Times New Roman CYR" w:cs="Times New Roman CYR"/>
          <w:sz w:val="28"/>
          <w:szCs w:val="28"/>
        </w:rPr>
        <w:t>-</w:t>
      </w: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w:t>
      </w:r>
    </w:p>
    <w:p w14:paraId="33C442E4" w14:textId="77777777" w:rsidR="00000000" w:rsidRDefault="00000000">
      <w:pPr>
        <w:spacing w:line="360" w:lineRule="auto"/>
        <w:ind w:firstLine="709"/>
        <w:jc w:val="both"/>
        <w:rPr>
          <w:rFonts w:ascii="Times New Roman CYR" w:hAnsi="Times New Roman CYR" w:cs="Times New Roman CYR"/>
          <w:b/>
          <w:bCs/>
          <w:sz w:val="28"/>
          <w:szCs w:val="28"/>
        </w:rPr>
      </w:pPr>
    </w:p>
    <w:p w14:paraId="0B46E81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Благодаря белкам все клетки и ткани организма обладают определенным буферным действием. В связи с этим попадающее на кожу небольшое количество кислоты или щелочи, довольно быстро оказывается нейтрализованным и не вызывает химического ожога.</w:t>
      </w:r>
    </w:p>
    <w:p w14:paraId="3A437EB8"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Наиболее могучими буферными системами крови являются гемоглобиновый и оксигемоглобиновый буфера, которые находятся в эритроцитах. На их долю приходится примерно 75% всей буферной емкости крови. По своей природе и механизму действия они относятся к белковым буферным системам.</w:t>
      </w:r>
    </w:p>
    <w:p w14:paraId="4A613F0C"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Гемоглобиновый буфер присутствует в венозной крови и его состав можно условно отобразить следующим образом:</w:t>
      </w:r>
    </w:p>
    <w:p w14:paraId="0FBC7FE9" w14:textId="77777777" w:rsidR="00000000" w:rsidRDefault="00000000">
      <w:pPr>
        <w:spacing w:line="360" w:lineRule="auto"/>
        <w:ind w:firstLine="709"/>
        <w:jc w:val="both"/>
        <w:rPr>
          <w:rFonts w:ascii="Times New Roman CYR" w:hAnsi="Times New Roman CYR" w:cs="Times New Roman CYR"/>
          <w:sz w:val="28"/>
          <w:szCs w:val="28"/>
        </w:rPr>
      </w:pPr>
    </w:p>
    <w:tbl>
      <w:tblPr>
        <w:tblW w:w="0" w:type="auto"/>
        <w:tblInd w:w="426" w:type="dxa"/>
        <w:tblLayout w:type="fixed"/>
        <w:tblLook w:val="0000" w:firstRow="0" w:lastRow="0" w:firstColumn="0" w:lastColumn="0" w:noHBand="0" w:noVBand="0"/>
      </w:tblPr>
      <w:tblGrid>
        <w:gridCol w:w="2686"/>
        <w:gridCol w:w="329"/>
        <w:gridCol w:w="1791"/>
      </w:tblGrid>
      <w:tr w:rsidR="00000000" w14:paraId="266B8495" w14:textId="77777777">
        <w:tblPrEx>
          <w:tblCellMar>
            <w:top w:w="0" w:type="dxa"/>
            <w:bottom w:w="0" w:type="dxa"/>
          </w:tblCellMar>
        </w:tblPrEx>
        <w:tc>
          <w:tcPr>
            <w:tcW w:w="2686" w:type="dxa"/>
            <w:tcBorders>
              <w:top w:val="nil"/>
              <w:left w:val="nil"/>
              <w:bottom w:val="nil"/>
              <w:right w:val="nil"/>
            </w:tcBorders>
          </w:tcPr>
          <w:p w14:paraId="4D83CB3C"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HH</w:t>
            </w:r>
            <w:r>
              <w:rPr>
                <w:rFonts w:ascii="Times New Roman CYR" w:hAnsi="Times New Roman CYR" w:cs="Times New Roman CYR"/>
                <w:sz w:val="20"/>
                <w:szCs w:val="20"/>
              </w:rPr>
              <w:t>в</w:t>
            </w:r>
          </w:p>
        </w:tc>
        <w:tc>
          <w:tcPr>
            <w:tcW w:w="329" w:type="dxa"/>
            <w:tcBorders>
              <w:top w:val="nil"/>
              <w:left w:val="nil"/>
              <w:bottom w:val="nil"/>
              <w:right w:val="nil"/>
            </w:tcBorders>
          </w:tcPr>
          <w:p w14:paraId="5418A279"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w:t>
            </w:r>
          </w:p>
        </w:tc>
        <w:tc>
          <w:tcPr>
            <w:tcW w:w="1791" w:type="dxa"/>
            <w:tcBorders>
              <w:top w:val="nil"/>
              <w:left w:val="nil"/>
              <w:bottom w:val="nil"/>
              <w:right w:val="nil"/>
            </w:tcBorders>
          </w:tcPr>
          <w:p w14:paraId="501DE874"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lang w:val="en-US"/>
              </w:rPr>
              <w:t>K</w:t>
            </w:r>
            <w:r>
              <w:rPr>
                <w:rFonts w:ascii="Times New Roman CYR" w:hAnsi="Times New Roman CYR" w:cs="Times New Roman CYR"/>
                <w:sz w:val="20"/>
                <w:szCs w:val="20"/>
              </w:rPr>
              <w:t>Нв</w:t>
            </w:r>
          </w:p>
        </w:tc>
      </w:tr>
      <w:tr w:rsidR="00000000" w14:paraId="7A1BC691" w14:textId="77777777">
        <w:tblPrEx>
          <w:tblCellMar>
            <w:top w:w="0" w:type="dxa"/>
            <w:bottom w:w="0" w:type="dxa"/>
          </w:tblCellMar>
        </w:tblPrEx>
        <w:tc>
          <w:tcPr>
            <w:tcW w:w="2686" w:type="dxa"/>
            <w:tcBorders>
              <w:top w:val="nil"/>
              <w:left w:val="nil"/>
              <w:bottom w:val="nil"/>
              <w:right w:val="nil"/>
            </w:tcBorders>
          </w:tcPr>
          <w:p w14:paraId="05CA04D3"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слабая органическая кислота</w:t>
            </w:r>
          </w:p>
        </w:tc>
        <w:tc>
          <w:tcPr>
            <w:tcW w:w="329" w:type="dxa"/>
            <w:tcBorders>
              <w:top w:val="nil"/>
              <w:left w:val="nil"/>
              <w:bottom w:val="nil"/>
              <w:right w:val="nil"/>
            </w:tcBorders>
          </w:tcPr>
          <w:p w14:paraId="3227CB13" w14:textId="77777777" w:rsidR="00000000" w:rsidRDefault="00000000">
            <w:pPr>
              <w:rPr>
                <w:rFonts w:ascii="Times New Roman CYR" w:hAnsi="Times New Roman CYR" w:cs="Times New Roman CYR"/>
                <w:sz w:val="20"/>
                <w:szCs w:val="20"/>
              </w:rPr>
            </w:pPr>
          </w:p>
        </w:tc>
        <w:tc>
          <w:tcPr>
            <w:tcW w:w="1791" w:type="dxa"/>
            <w:tcBorders>
              <w:top w:val="nil"/>
              <w:left w:val="nil"/>
              <w:bottom w:val="nil"/>
              <w:right w:val="nil"/>
            </w:tcBorders>
          </w:tcPr>
          <w:p w14:paraId="3BA66920" w14:textId="77777777" w:rsidR="00000000" w:rsidRDefault="00000000">
            <w:pPr>
              <w:rPr>
                <w:rFonts w:ascii="Times New Roman CYR" w:hAnsi="Times New Roman CYR" w:cs="Times New Roman CYR"/>
                <w:sz w:val="20"/>
                <w:szCs w:val="20"/>
              </w:rPr>
            </w:pPr>
            <w:r>
              <w:rPr>
                <w:rFonts w:ascii="Times New Roman CYR" w:hAnsi="Times New Roman CYR" w:cs="Times New Roman CYR"/>
                <w:sz w:val="20"/>
                <w:szCs w:val="20"/>
              </w:rPr>
              <w:t>соль этой кислоты</w:t>
            </w:r>
          </w:p>
        </w:tc>
      </w:tr>
    </w:tbl>
    <w:p w14:paraId="169D8FA1" w14:textId="77777777" w:rsidR="00000000" w:rsidRDefault="00000000">
      <w:pPr>
        <w:spacing w:line="360" w:lineRule="auto"/>
        <w:ind w:firstLine="709"/>
        <w:jc w:val="both"/>
        <w:rPr>
          <w:rFonts w:ascii="Times New Roman CYR" w:hAnsi="Times New Roman CYR" w:cs="Times New Roman CYR"/>
          <w:sz w:val="28"/>
          <w:szCs w:val="28"/>
        </w:rPr>
      </w:pPr>
    </w:p>
    <w:p w14:paraId="359BDD2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Поступающие в венозную кровь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и другие кислые продукты обмена веществ реагируют с калиевой солью гемоглобина.</w:t>
      </w:r>
    </w:p>
    <w:p w14:paraId="377F9D1F" w14:textId="77777777" w:rsidR="00000000" w:rsidRDefault="00000000">
      <w:pPr>
        <w:spacing w:line="360" w:lineRule="auto"/>
        <w:ind w:firstLine="709"/>
        <w:jc w:val="both"/>
        <w:rPr>
          <w:rFonts w:ascii="Times New Roman CYR" w:hAnsi="Times New Roman CYR" w:cs="Times New Roman CYR"/>
          <w:sz w:val="28"/>
          <w:szCs w:val="28"/>
        </w:rPr>
      </w:pPr>
    </w:p>
    <w:p w14:paraId="35BB8F72"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en-US"/>
        </w:rPr>
        <w:t>KH</w:t>
      </w:r>
      <w:r>
        <w:rPr>
          <w:rFonts w:ascii="Times New Roman CYR" w:hAnsi="Times New Roman CYR" w:cs="Times New Roman CYR"/>
          <w:sz w:val="28"/>
          <w:szCs w:val="28"/>
        </w:rPr>
        <w:t xml:space="preserve">в + </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w:t>
      </w:r>
      <w:r>
        <w:rPr>
          <w:rFonts w:ascii="Times New Roman" w:hAnsi="Times New Roman" w:cs="Times New Roman"/>
          <w:sz w:val="28"/>
          <w:szCs w:val="28"/>
        </w:rPr>
        <w:t>→</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K</w:t>
      </w:r>
      <w:r>
        <w:rPr>
          <w:rFonts w:ascii="Times New Roman CYR" w:hAnsi="Times New Roman CYR" w:cs="Times New Roman CYR"/>
          <w:sz w:val="28"/>
          <w:szCs w:val="28"/>
        </w:rPr>
        <w:t>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 </w:t>
      </w:r>
      <w:r>
        <w:rPr>
          <w:rFonts w:ascii="Times New Roman CYR" w:hAnsi="Times New Roman CYR" w:cs="Times New Roman CYR"/>
          <w:sz w:val="28"/>
          <w:szCs w:val="28"/>
          <w:lang w:val="en-US"/>
        </w:rPr>
        <w:t>H</w:t>
      </w:r>
      <w:r>
        <w:rPr>
          <w:rFonts w:ascii="Times New Roman CYR" w:hAnsi="Times New Roman CYR" w:cs="Times New Roman CYR"/>
          <w:sz w:val="28"/>
          <w:szCs w:val="28"/>
        </w:rPr>
        <w:t xml:space="preserve"> </w:t>
      </w:r>
      <w:r>
        <w:rPr>
          <w:rFonts w:ascii="Times New Roman CYR" w:hAnsi="Times New Roman CYR" w:cs="Times New Roman CYR"/>
          <w:sz w:val="28"/>
          <w:szCs w:val="28"/>
          <w:lang w:val="en-US"/>
        </w:rPr>
        <w:t>H</w:t>
      </w:r>
      <w:r>
        <w:rPr>
          <w:rFonts w:ascii="Times New Roman CYR" w:hAnsi="Times New Roman CYR" w:cs="Times New Roman CYR"/>
          <w:sz w:val="28"/>
          <w:szCs w:val="28"/>
        </w:rPr>
        <w:t>в</w:t>
      </w:r>
    </w:p>
    <w:p w14:paraId="777AD271" w14:textId="77777777" w:rsidR="00000000" w:rsidRDefault="00000000">
      <w:pPr>
        <w:spacing w:line="360" w:lineRule="auto"/>
        <w:ind w:firstLine="709"/>
        <w:jc w:val="both"/>
        <w:rPr>
          <w:rFonts w:ascii="Times New Roman CYR" w:hAnsi="Times New Roman CYR" w:cs="Times New Roman CYR"/>
          <w:sz w:val="28"/>
          <w:szCs w:val="28"/>
        </w:rPr>
      </w:pPr>
    </w:p>
    <w:p w14:paraId="3DE8249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Попадая в капилляры легких гемоглобин превращается в оксигемоглобин ННвО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присоединяя к себе молекулы 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w:t>
      </w:r>
    </w:p>
    <w:p w14:paraId="0DCFE80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Оксигемоглобин обладает более сильными кислотными свойствами, чем гемоглобин и угольная кислота. Он взаимодействует с гидрокарбонатом калия, вытесняя из него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которая распадается на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и Н</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О. Образовавшийся избыточный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через легкие удаляется из крови.</w:t>
      </w:r>
    </w:p>
    <w:p w14:paraId="7C0633F4" w14:textId="77777777" w:rsidR="00000000" w:rsidRDefault="00000000">
      <w:pPr>
        <w:spacing w:line="360" w:lineRule="auto"/>
        <w:ind w:firstLine="709"/>
        <w:jc w:val="both"/>
        <w:rPr>
          <w:rFonts w:ascii="Times New Roman CYR" w:hAnsi="Times New Roman CYR" w:cs="Times New Roman CYR"/>
          <w:sz w:val="28"/>
          <w:szCs w:val="28"/>
        </w:rPr>
      </w:pPr>
    </w:p>
    <w:p w14:paraId="150413CD" w14:textId="77777777" w:rsidR="00000000" w:rsidRDefault="00000000">
      <w:pPr>
        <w:spacing w:line="360" w:lineRule="auto"/>
        <w:ind w:firstLine="709"/>
        <w:jc w:val="both"/>
        <w:rPr>
          <w:rFonts w:ascii="Times New Roman CYR" w:hAnsi="Times New Roman CYR" w:cs="Times New Roman CYR"/>
          <w:sz w:val="28"/>
          <w:szCs w:val="28"/>
          <w:lang w:val="pl-PL"/>
        </w:rPr>
      </w:pPr>
      <w:r>
        <w:rPr>
          <w:rFonts w:ascii="Times New Roman CYR" w:hAnsi="Times New Roman CYR" w:cs="Times New Roman CYR"/>
          <w:sz w:val="28"/>
          <w:szCs w:val="28"/>
          <w:lang w:val="pl-PL"/>
        </w:rPr>
        <w:t>HH</w:t>
      </w:r>
      <w:r>
        <w:rPr>
          <w:rFonts w:ascii="Times New Roman CYR" w:hAnsi="Times New Roman CYR" w:cs="Times New Roman CYR"/>
          <w:sz w:val="28"/>
          <w:szCs w:val="28"/>
        </w:rPr>
        <w:t>в</w:t>
      </w:r>
      <w:r>
        <w:rPr>
          <w:rFonts w:ascii="Times New Roman CYR" w:hAnsi="Times New Roman CYR" w:cs="Times New Roman CYR"/>
          <w:sz w:val="28"/>
          <w:szCs w:val="28"/>
          <w:lang w:val="pl-PL"/>
        </w:rPr>
        <w:t>O</w:t>
      </w:r>
      <w:r>
        <w:rPr>
          <w:rFonts w:ascii="Times New Roman CYR" w:hAnsi="Times New Roman CYR" w:cs="Times New Roman CYR"/>
          <w:sz w:val="28"/>
          <w:szCs w:val="28"/>
          <w:vertAlign w:val="subscript"/>
          <w:lang w:val="pl-PL"/>
        </w:rPr>
        <w:t>2</w:t>
      </w:r>
      <w:r>
        <w:rPr>
          <w:rFonts w:ascii="Times New Roman CYR" w:hAnsi="Times New Roman CYR" w:cs="Times New Roman CYR"/>
          <w:sz w:val="28"/>
          <w:szCs w:val="28"/>
          <w:lang w:val="pl-PL"/>
        </w:rPr>
        <w:t xml:space="preserve"> + K</w:t>
      </w:r>
      <w:r>
        <w:rPr>
          <w:rFonts w:ascii="Times New Roman CYR" w:hAnsi="Times New Roman CYR" w:cs="Times New Roman CYR"/>
          <w:sz w:val="28"/>
          <w:szCs w:val="28"/>
        </w:rPr>
        <w:t>НСО</w:t>
      </w:r>
      <w:r>
        <w:rPr>
          <w:rFonts w:ascii="Times New Roman CYR" w:hAnsi="Times New Roman CYR" w:cs="Times New Roman CYR"/>
          <w:sz w:val="28"/>
          <w:szCs w:val="28"/>
          <w:vertAlign w:val="subscript"/>
          <w:lang w:val="pl-PL"/>
        </w:rPr>
        <w:t>3</w:t>
      </w:r>
      <w:r>
        <w:rPr>
          <w:rFonts w:ascii="Times New Roman CYR" w:hAnsi="Times New Roman CYR" w:cs="Times New Roman CYR"/>
          <w:sz w:val="28"/>
          <w:szCs w:val="28"/>
          <w:lang w:val="pl-PL"/>
        </w:rPr>
        <w:t xml:space="preserve"> </w:t>
      </w:r>
      <w:r>
        <w:rPr>
          <w:rFonts w:ascii="Times New Roman" w:hAnsi="Times New Roman" w:cs="Times New Roman"/>
          <w:sz w:val="28"/>
          <w:szCs w:val="28"/>
          <w:lang w:val="pl-PL"/>
        </w:rPr>
        <w:t>→</w:t>
      </w:r>
      <w:r>
        <w:rPr>
          <w:rFonts w:ascii="Times New Roman CYR" w:hAnsi="Times New Roman CYR" w:cs="Times New Roman CYR"/>
          <w:sz w:val="28"/>
          <w:szCs w:val="28"/>
          <w:lang w:val="pl-PL"/>
        </w:rPr>
        <w:t xml:space="preserve"> KH</w:t>
      </w:r>
      <w:r>
        <w:rPr>
          <w:rFonts w:ascii="Times New Roman CYR" w:hAnsi="Times New Roman CYR" w:cs="Times New Roman CYR"/>
          <w:sz w:val="28"/>
          <w:szCs w:val="28"/>
        </w:rPr>
        <w:t>в</w:t>
      </w:r>
      <w:r>
        <w:rPr>
          <w:rFonts w:ascii="Times New Roman CYR" w:hAnsi="Times New Roman CYR" w:cs="Times New Roman CYR"/>
          <w:sz w:val="28"/>
          <w:szCs w:val="28"/>
          <w:lang w:val="pl-PL"/>
        </w:rPr>
        <w:t>O</w:t>
      </w:r>
      <w:r>
        <w:rPr>
          <w:rFonts w:ascii="Times New Roman CYR" w:hAnsi="Times New Roman CYR" w:cs="Times New Roman CYR"/>
          <w:sz w:val="28"/>
          <w:szCs w:val="28"/>
          <w:vertAlign w:val="subscript"/>
          <w:lang w:val="pl-PL"/>
        </w:rPr>
        <w:t>2</w:t>
      </w:r>
      <w:r>
        <w:rPr>
          <w:rFonts w:ascii="Times New Roman CYR" w:hAnsi="Times New Roman CYR" w:cs="Times New Roman CYR"/>
          <w:sz w:val="28"/>
          <w:szCs w:val="28"/>
          <w:lang w:val="pl-PL"/>
        </w:rPr>
        <w:t xml:space="preserve"> + </w:t>
      </w:r>
      <w:r>
        <w:rPr>
          <w:rFonts w:ascii="Times New Roman CYR" w:hAnsi="Times New Roman CYR" w:cs="Times New Roman CYR"/>
          <w:sz w:val="28"/>
          <w:szCs w:val="28"/>
        </w:rPr>
        <w:t>Н</w:t>
      </w:r>
      <w:r>
        <w:rPr>
          <w:rFonts w:ascii="Times New Roman CYR" w:hAnsi="Times New Roman CYR" w:cs="Times New Roman CYR"/>
          <w:sz w:val="28"/>
          <w:szCs w:val="28"/>
          <w:vertAlign w:val="subscript"/>
          <w:lang w:val="pl-PL"/>
        </w:rPr>
        <w:t>2</w:t>
      </w:r>
      <w:r>
        <w:rPr>
          <w:rFonts w:ascii="Times New Roman CYR" w:hAnsi="Times New Roman CYR" w:cs="Times New Roman CYR"/>
          <w:sz w:val="28"/>
          <w:szCs w:val="28"/>
          <w:lang w:val="pl-PL"/>
        </w:rPr>
        <w:t>C</w:t>
      </w:r>
      <w:r>
        <w:rPr>
          <w:rFonts w:ascii="Times New Roman CYR" w:hAnsi="Times New Roman CYR" w:cs="Times New Roman CYR"/>
          <w:sz w:val="28"/>
          <w:szCs w:val="28"/>
        </w:rPr>
        <w:t>О</w:t>
      </w:r>
      <w:r>
        <w:rPr>
          <w:rFonts w:ascii="Times New Roman CYR" w:hAnsi="Times New Roman CYR" w:cs="Times New Roman CYR"/>
          <w:sz w:val="28"/>
          <w:szCs w:val="28"/>
          <w:vertAlign w:val="subscript"/>
          <w:lang w:val="pl-PL"/>
        </w:rPr>
        <w:t>3</w:t>
      </w:r>
    </w:p>
    <w:p w14:paraId="58785233" w14:textId="77777777" w:rsidR="00000000" w:rsidRDefault="00000000">
      <w:pPr>
        <w:spacing w:line="360" w:lineRule="auto"/>
        <w:ind w:firstLine="709"/>
        <w:jc w:val="both"/>
        <w:rPr>
          <w:rFonts w:ascii="Times New Roman CYR" w:hAnsi="Times New Roman CYR" w:cs="Times New Roman CYR"/>
          <w:sz w:val="28"/>
          <w:szCs w:val="28"/>
          <w:lang w:val="pl-PL"/>
        </w:rPr>
      </w:pPr>
    </w:p>
    <w:p w14:paraId="1AF6473F"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Системы гемоглобинового и оксигемоглобинового буферов являются взаимопревращающимися системами и существуют как единое целое. Они в значительной степени способствуют поддержанию в крови концентрации гидрокарбонат-ионов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(так называемый щелочной резерв крови) на постоянном уровне.</w:t>
      </w:r>
    </w:p>
    <w:p w14:paraId="7517F1C2" w14:textId="77777777" w:rsidR="00000000" w:rsidRDefault="00000000">
      <w:pPr>
        <w:spacing w:line="360" w:lineRule="auto"/>
        <w:ind w:firstLine="709"/>
        <w:jc w:val="both"/>
        <w:rPr>
          <w:rFonts w:ascii="Times New Roman CYR" w:hAnsi="Times New Roman CYR" w:cs="Times New Roman CYR"/>
          <w:sz w:val="28"/>
          <w:szCs w:val="28"/>
        </w:rPr>
      </w:pPr>
    </w:p>
    <w:p w14:paraId="32A29052" w14:textId="77777777" w:rsidR="00000000" w:rsidRDefault="00000000">
      <w:pPr>
        <w:spacing w:line="360" w:lineRule="auto"/>
        <w:ind w:firstLine="709"/>
        <w:jc w:val="both"/>
        <w:rPr>
          <w:rFonts w:ascii="Times New Roman CYR" w:hAnsi="Times New Roman CYR" w:cs="Times New Roman CYR"/>
          <w:b/>
          <w:bCs/>
          <w:sz w:val="28"/>
          <w:szCs w:val="28"/>
        </w:rPr>
      </w:pPr>
      <w:r>
        <w:rPr>
          <w:rFonts w:ascii="Times New Roman CYR" w:hAnsi="Times New Roman CYR" w:cs="Times New Roman CYR"/>
          <w:sz w:val="28"/>
          <w:szCs w:val="28"/>
        </w:rPr>
        <w:br w:type="page"/>
      </w:r>
      <w:r>
        <w:rPr>
          <w:rFonts w:ascii="Times New Roman CYR" w:hAnsi="Times New Roman CYR" w:cs="Times New Roman CYR"/>
          <w:b/>
          <w:bCs/>
          <w:sz w:val="28"/>
          <w:szCs w:val="28"/>
        </w:rPr>
        <w:t>Нарушения кислотно-основного равновесия крови. Ацидоз. Алкалоз</w:t>
      </w:r>
    </w:p>
    <w:p w14:paraId="2187628C" w14:textId="77777777" w:rsidR="00000000" w:rsidRDefault="00000000">
      <w:pPr>
        <w:spacing w:line="360" w:lineRule="auto"/>
        <w:jc w:val="both"/>
        <w:rPr>
          <w:rFonts w:ascii="Times New Roman CYR" w:hAnsi="Times New Roman CYR" w:cs="Times New Roman CYR"/>
          <w:color w:val="FFFFFF"/>
          <w:sz w:val="28"/>
          <w:szCs w:val="28"/>
        </w:rPr>
      </w:pPr>
      <w:r>
        <w:rPr>
          <w:rFonts w:ascii="Times New Roman CYR" w:hAnsi="Times New Roman CYR" w:cs="Times New Roman CYR"/>
          <w:color w:val="FFFFFF"/>
          <w:sz w:val="28"/>
          <w:szCs w:val="28"/>
        </w:rPr>
        <w:t>кислота буферный метаболический ацидоз</w:t>
      </w:r>
    </w:p>
    <w:p w14:paraId="61DC56A5"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Когда компенсаторные механизмы организма не способны предотвратить сдвиги концентрации водородных ионов, наступает нарушение кислотно-осн</w:t>
      </w:r>
      <w:r>
        <w:rPr>
          <w:rFonts w:ascii="Times New Roman" w:hAnsi="Times New Roman" w:cs="Times New Roman"/>
          <w:sz w:val="28"/>
          <w:szCs w:val="28"/>
        </w:rPr>
        <w:t>ó</w:t>
      </w:r>
      <w:r>
        <w:rPr>
          <w:rFonts w:ascii="Times New Roman CYR" w:hAnsi="Times New Roman CYR" w:cs="Times New Roman CYR"/>
          <w:sz w:val="28"/>
          <w:szCs w:val="28"/>
        </w:rPr>
        <w:t xml:space="preserve">вного равновесия. При этом наблюдаются два противоположных состояния - </w:t>
      </w:r>
      <w:r>
        <w:rPr>
          <w:rFonts w:ascii="Times New Roman CYR" w:hAnsi="Times New Roman CYR" w:cs="Times New Roman CYR"/>
          <w:b/>
          <w:bCs/>
          <w:sz w:val="28"/>
          <w:szCs w:val="28"/>
        </w:rPr>
        <w:t>ацидоз и алкалоз</w:t>
      </w:r>
      <w:r>
        <w:rPr>
          <w:rFonts w:ascii="Times New Roman CYR" w:hAnsi="Times New Roman CYR" w:cs="Times New Roman CYR"/>
          <w:sz w:val="28"/>
          <w:szCs w:val="28"/>
        </w:rPr>
        <w:t>.</w:t>
      </w:r>
    </w:p>
    <w:p w14:paraId="5CF4E436"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ацидозе концентрация водородных ионов в крови становится выше границ нормы. При этом, естественно рН уменьшается. Снижение величины рН ниже 6,8 вызывает смерть.</w:t>
      </w:r>
    </w:p>
    <w:p w14:paraId="39E3D784"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Состояние алкалоза наблюдается при уменьшении концентрации ионов Н</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(рН, соответственно, возрастает) по сравнению с нормой. Увеличение значений рН до 8,0 приводит к быстрому летальному исходу.</w:t>
      </w:r>
    </w:p>
    <w:p w14:paraId="74CFAC01"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зависимости от механизмов развития нарушений кислотно-основного равновесия разделяют </w:t>
      </w:r>
      <w:r>
        <w:rPr>
          <w:rFonts w:ascii="Times New Roman CYR" w:hAnsi="Times New Roman CYR" w:cs="Times New Roman CYR"/>
          <w:b/>
          <w:bCs/>
          <w:sz w:val="28"/>
          <w:szCs w:val="28"/>
        </w:rPr>
        <w:t>дыхательный и метаболический ацидоз или алкалоз</w:t>
      </w:r>
      <w:r>
        <w:rPr>
          <w:rFonts w:ascii="Times New Roman CYR" w:hAnsi="Times New Roman CYR" w:cs="Times New Roman CYR"/>
          <w:sz w:val="28"/>
          <w:szCs w:val="28"/>
        </w:rPr>
        <w:t>.</w:t>
      </w:r>
    </w:p>
    <w:p w14:paraId="5E06A66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Дыхательный ацидоз</w:t>
      </w:r>
      <w:r>
        <w:rPr>
          <w:rFonts w:ascii="Times New Roman CYR" w:hAnsi="Times New Roman CYR" w:cs="Times New Roman CYR"/>
          <w:sz w:val="28"/>
          <w:szCs w:val="28"/>
        </w:rPr>
        <w:t xml:space="preserve"> возникает в результате уменьшения минутного объема дыхания (например, при бронхиальной астме, отеке, эмфиземе легких, асфиксии механического порядка и т.д.). Все эти заболевания ведут к гиповентиляции и к повышению парциального давления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артериальной крови и содержания в плазме НСО</w:t>
      </w:r>
      <w:r>
        <w:rPr>
          <w:rFonts w:ascii="Times New Roman CYR" w:hAnsi="Times New Roman CYR" w:cs="Times New Roman CYR"/>
          <w:sz w:val="28"/>
          <w:szCs w:val="28"/>
          <w:vertAlign w:val="subscript"/>
        </w:rPr>
        <w:t>3</w:t>
      </w:r>
      <w:r>
        <w:rPr>
          <w:rFonts w:ascii="Times New Roman CYR" w:hAnsi="Times New Roman CYR" w:cs="Times New Roman CYR"/>
          <w:sz w:val="28"/>
          <w:szCs w:val="28"/>
          <w:vertAlign w:val="superscript"/>
        </w:rPr>
        <w:t>-</w:t>
      </w:r>
      <w:r>
        <w:rPr>
          <w:rFonts w:ascii="Times New Roman CYR" w:hAnsi="Times New Roman CYR" w:cs="Times New Roman CYR"/>
          <w:sz w:val="28"/>
          <w:szCs w:val="28"/>
        </w:rPr>
        <w:t xml:space="preserve"> ионов.</w:t>
      </w:r>
    </w:p>
    <w:p w14:paraId="4029FFE7"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Дыхательный алкалоз</w:t>
      </w:r>
      <w:r>
        <w:rPr>
          <w:rFonts w:ascii="Times New Roman CYR" w:hAnsi="Times New Roman CYR" w:cs="Times New Roman CYR"/>
          <w:sz w:val="28"/>
          <w:szCs w:val="28"/>
        </w:rPr>
        <w:t>, наоборот, возникает при вдыхании чистого кислорода, компенсаторной одышке, сопровождающей ряд заболеваний, пребывании в разряженной атмосфере.</w:t>
      </w:r>
    </w:p>
    <w:p w14:paraId="264B15E3"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дыхательном алкалозе в крови уменьшается концентрация растворенного СО</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и гидрокарбонат-ионов (щелочной резерв крови).</w:t>
      </w:r>
    </w:p>
    <w:p w14:paraId="29937E8E" w14:textId="77777777" w:rsidR="00000000" w:rsidRDefault="00000000">
      <w:pPr>
        <w:spacing w:line="360" w:lineRule="auto"/>
        <w:ind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Метаболический ацидоз</w:t>
      </w:r>
      <w:r>
        <w:rPr>
          <w:rFonts w:ascii="Times New Roman CYR" w:hAnsi="Times New Roman CYR" w:cs="Times New Roman CYR"/>
          <w:sz w:val="28"/>
          <w:szCs w:val="28"/>
        </w:rPr>
        <w:t xml:space="preserve"> - самая частая и тяжелая форма нарушений кислотно-основного равновесия. Он обусловлен накоплением в тканях и крови органических кислот. Этот вид ацидоза связан с нарушением обмена веществ и возможен при диабете, голодании, лихорадке, заболеваниях желудочно-кишечного тракта и т.д. </w:t>
      </w:r>
      <w:r>
        <w:rPr>
          <w:rFonts w:ascii="Times New Roman CYR" w:hAnsi="Times New Roman CYR" w:cs="Times New Roman CYR"/>
          <w:b/>
          <w:bCs/>
          <w:sz w:val="28"/>
          <w:szCs w:val="28"/>
        </w:rPr>
        <w:t>Метаболический алкалоз</w:t>
      </w:r>
      <w:r>
        <w:rPr>
          <w:rFonts w:ascii="Times New Roman CYR" w:hAnsi="Times New Roman CYR" w:cs="Times New Roman CYR"/>
          <w:sz w:val="28"/>
          <w:szCs w:val="28"/>
        </w:rPr>
        <w:t xml:space="preserve"> развивается при потере в результате неукротимой рвоты большого количества кислотных эквивалентов) и всасывании в кровь большого числа основных эквивалентов кишечного сока, а также при накоплении в тканях основных продуктов обмена веществ.</w:t>
      </w:r>
    </w:p>
    <w:p w14:paraId="1A6AE64E" w14:textId="77777777" w:rsidR="00000000" w:rsidRDefault="00000000">
      <w:pPr>
        <w:spacing w:line="360" w:lineRule="auto"/>
        <w:ind w:firstLine="709"/>
        <w:jc w:val="both"/>
        <w:rPr>
          <w:rFonts w:ascii="Times New Roman CYR" w:hAnsi="Times New Roman CYR" w:cs="Times New Roman CYR"/>
          <w:sz w:val="28"/>
          <w:szCs w:val="28"/>
        </w:rPr>
      </w:pPr>
    </w:p>
    <w:p w14:paraId="1211F436" w14:textId="77777777" w:rsidR="00000000" w:rsidRDefault="00000000">
      <w:pPr>
        <w:spacing w:line="360" w:lineRule="auto"/>
        <w:ind w:firstLine="709"/>
        <w:jc w:val="both"/>
        <w:rPr>
          <w:rFonts w:cs="Times New Roman Ïîëóæèðíûé"/>
          <w:b/>
          <w:bCs/>
          <w:caps/>
          <w:sz w:val="28"/>
          <w:szCs w:val="28"/>
        </w:rPr>
      </w:pPr>
      <w:r>
        <w:rPr>
          <w:rFonts w:ascii="Times New Roman CYR" w:hAnsi="Times New Roman CYR" w:cs="Times New Roman CYR"/>
          <w:sz w:val="28"/>
          <w:szCs w:val="28"/>
        </w:rPr>
        <w:br w:type="page"/>
      </w:r>
      <w:r>
        <w:rPr>
          <w:rFonts w:cs="Times New Roman Ïîëóæèðíûé"/>
          <w:b/>
          <w:bCs/>
          <w:caps/>
          <w:sz w:val="28"/>
          <w:szCs w:val="28"/>
        </w:rPr>
        <w:t>Ñïèñîê ëèòåðàòóðû</w:t>
      </w:r>
    </w:p>
    <w:p w14:paraId="55D28618" w14:textId="77777777" w:rsidR="00000000" w:rsidRDefault="00000000">
      <w:pPr>
        <w:spacing w:line="360" w:lineRule="auto"/>
        <w:ind w:firstLine="709"/>
        <w:jc w:val="both"/>
        <w:rPr>
          <w:rFonts w:ascii="Times New Roman CYR" w:hAnsi="Times New Roman CYR" w:cs="Times New Roman CYR"/>
          <w:sz w:val="28"/>
          <w:szCs w:val="28"/>
        </w:rPr>
      </w:pPr>
    </w:p>
    <w:p w14:paraId="086F35B1" w14:textId="77777777" w:rsidR="00894C04" w:rsidRDefault="00000000">
      <w:pPr>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Болтромеюк В. В «Общая химия»</w:t>
      </w:r>
    </w:p>
    <w:sectPr w:rsidR="00894C0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Ïîëóæèðíûé">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61"/>
    <w:rsid w:val="00491361"/>
    <w:rsid w:val="006B04F5"/>
    <w:rsid w:val="00894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E483D5"/>
  <w14:defaultImageDpi w14:val="0"/>
  <w15:docId w15:val="{83481453-5A0A-46AF-81A6-5D840994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Ïîëóæèðíûé" w:hAnsi="Times New Roman Ïîëóæèðíûé"/>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6731</Words>
  <Characters>38368</Characters>
  <Application>Microsoft Office Word</Application>
  <DocSecurity>0</DocSecurity>
  <Lines>319</Lines>
  <Paragraphs>90</Paragraphs>
  <ScaleCrop>false</ScaleCrop>
  <Company/>
  <LinksUpToDate>false</LinksUpToDate>
  <CharactersWithSpaces>45009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2025-12-16T11:10:00Z</dcterms:created>
  <dcterms:modified xsi:type="dcterms:W3CDTF">2025-12-16T11:10:00Z</dcterms:modified>
</cp:coreProperties>
</file>