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001A7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618C661E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62366FE0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5D6EE28E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01F636EF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5DA61E07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48DADD05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0F5DD792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1E23ABD9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598452F6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446F8ADF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062F6F3F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</w:p>
    <w:p w14:paraId="64CB7C61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Контрольная работа</w:t>
      </w:r>
    </w:p>
    <w:p w14:paraId="6D6F93CA" w14:textId="77777777" w:rsidR="00000000" w:rsidRDefault="00000000">
      <w:pPr>
        <w:spacing w:line="360" w:lineRule="auto"/>
        <w:jc w:val="center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Диазосоединения</w:t>
      </w:r>
    </w:p>
    <w:p w14:paraId="6C85A491" w14:textId="77777777" w:rsidR="00000000" w:rsidRDefault="00000000">
      <w:pPr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lastRenderedPageBreak/>
        <w:t>Содержание</w:t>
      </w:r>
    </w:p>
    <w:p w14:paraId="5E073600" w14:textId="77777777" w:rsidR="00000000" w:rsidRDefault="00000000">
      <w:pPr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</w:p>
    <w:p w14:paraId="55AF8A6C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1. Представители</w:t>
      </w:r>
    </w:p>
    <w:p w14:paraId="4A5E24B4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2. Получение диазосоединений</w:t>
      </w:r>
    </w:p>
    <w:p w14:paraId="18B2F492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3. Строение диазогруппы</w:t>
      </w:r>
    </w:p>
    <w:p w14:paraId="245D3D16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4. Устойчивость</w:t>
      </w:r>
    </w:p>
    <w:p w14:paraId="27FD49BD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5. Реакции без выделения азота</w:t>
      </w:r>
    </w:p>
    <w:p w14:paraId="3B029BD8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6. Реакции диазоалканов с выделением азота</w:t>
      </w:r>
    </w:p>
    <w:p w14:paraId="6E21928B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7. Реакции солей диазония с выделением азота</w:t>
      </w:r>
    </w:p>
    <w:p w14:paraId="18FFDFFA" w14:textId="77777777" w:rsidR="00000000" w:rsidRDefault="00000000">
      <w:pPr>
        <w:rPr>
          <w:noProof/>
          <w:lang w:val="ru-RU"/>
        </w:rPr>
      </w:pPr>
      <w:r>
        <w:rPr>
          <w:smallCaps/>
          <w:noProof/>
          <w:color w:val="0000FF"/>
          <w:sz w:val="28"/>
          <w:szCs w:val="28"/>
          <w:u w:val="single"/>
          <w:lang w:val="ru-RU"/>
        </w:rPr>
        <w:t>Литература</w:t>
      </w:r>
    </w:p>
    <w:p w14:paraId="2B402881" w14:textId="77777777" w:rsidR="00000000" w:rsidRDefault="00000000">
      <w:pPr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lastRenderedPageBreak/>
        <w:t>Введение</w:t>
      </w:r>
    </w:p>
    <w:p w14:paraId="575E968F" w14:textId="77777777" w:rsidR="00000000" w:rsidRDefault="00000000">
      <w:pPr>
        <w:rPr>
          <w:b/>
          <w:bCs/>
          <w:i/>
          <w:iCs/>
          <w:smallCaps/>
          <w:noProof/>
          <w:sz w:val="28"/>
          <w:szCs w:val="28"/>
          <w:lang w:val="ru-RU"/>
        </w:rPr>
      </w:pPr>
    </w:p>
    <w:p w14:paraId="62C2C08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Диазосоединения представляют собой органические молекулы, содержащие два связанных между собой атома азота, причем один из них не соединен с атомами других элементов. Связь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 можно изобразить как в виде двойной, так и в виде тройной; атомы азота имеют </w:t>
      </w:r>
      <w:r>
        <w:rPr>
          <w:color w:val="000000"/>
          <w:sz w:val="28"/>
          <w:szCs w:val="28"/>
          <w:lang w:val="en-US"/>
        </w:rPr>
        <w:t>sp</w:t>
      </w:r>
      <w:r>
        <w:rPr>
          <w:color w:val="000000"/>
          <w:sz w:val="28"/>
          <w:szCs w:val="28"/>
          <w:lang w:val="ru-RU"/>
        </w:rPr>
        <w:t>-гибридизацию. Диазосоединения могут быть нейтральными молекулами либо катионами.</w:t>
      </w:r>
    </w:p>
    <w:p w14:paraId="6461711B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lastRenderedPageBreak/>
        <w:t>1. Представители</w:t>
      </w:r>
    </w:p>
    <w:p w14:paraId="093D0622" w14:textId="77777777" w:rsidR="00000000" w:rsidRDefault="00000000">
      <w:pPr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</w:p>
    <w:p w14:paraId="0520FA5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Алифатические соединения устойчивы только в нейтральной форме, поэтому солей алкилдиазония не существует. Сопряжение весьма эффективно стабилизирует диазогруппу, поэтому диазокетоны, эфиры диазокислот и диазоалкены (особенно циклические) устойчивее обычных диазоалканов. Примеры нейтральных (ковалентных) диазосоединений:</w:t>
      </w:r>
    </w:p>
    <w:p w14:paraId="5D312AC8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2431D90" w14:textId="4B07C054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308B81" wp14:editId="22EF2268">
            <wp:extent cx="5265420" cy="2849880"/>
            <wp:effectExtent l="0" t="0" r="0" b="0"/>
            <wp:docPr id="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EE2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7AA745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 ароматическом ряду известны катионные формы диазосоединений (катионы диазония). Возможность их существования обеспечивается резонанасной стабилизацией с участием ароматического секстета кольца и (+М) заместителей в </w:t>
      </w:r>
      <w:r>
        <w:rPr>
          <w:i/>
          <w:iCs/>
          <w:color w:val="000000"/>
          <w:sz w:val="28"/>
          <w:szCs w:val="28"/>
          <w:lang w:val="ru-RU"/>
        </w:rPr>
        <w:t>орто</w:t>
      </w:r>
      <w:r>
        <w:rPr>
          <w:color w:val="000000"/>
          <w:sz w:val="28"/>
          <w:szCs w:val="28"/>
          <w:lang w:val="ru-RU"/>
        </w:rPr>
        <w:t xml:space="preserve"> - и </w:t>
      </w:r>
      <w:r>
        <w:rPr>
          <w:i/>
          <w:iCs/>
          <w:color w:val="000000"/>
          <w:sz w:val="28"/>
          <w:szCs w:val="28"/>
          <w:lang w:val="ru-RU"/>
        </w:rPr>
        <w:t>пара</w:t>
      </w:r>
      <w:r>
        <w:rPr>
          <w:color w:val="000000"/>
          <w:sz w:val="28"/>
          <w:szCs w:val="28"/>
          <w:lang w:val="ru-RU"/>
        </w:rPr>
        <w:t>-положениях кольца, если таковые присутствуют. Многие катионы арилдиазония устойчивы при температуре выше 0</w:t>
      </w:r>
      <w:r>
        <w:rPr>
          <w:color w:val="000000"/>
          <w:sz w:val="28"/>
          <w:szCs w:val="28"/>
          <w:vertAlign w:val="superscript"/>
          <w:lang w:val="ru-RU"/>
        </w:rPr>
        <w:t>о</w:t>
      </w:r>
      <w:r>
        <w:rPr>
          <w:color w:val="000000"/>
          <w:sz w:val="28"/>
          <w:szCs w:val="28"/>
          <w:lang w:val="ru-RU"/>
        </w:rPr>
        <w:t>С и успешно применяются в органическом синтезе.</w:t>
      </w:r>
    </w:p>
    <w:p w14:paraId="713EC29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FBCEF08" w14:textId="1ADC2E29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86486E3" wp14:editId="5DA84140">
            <wp:extent cx="4328160" cy="1516380"/>
            <wp:effectExtent l="0" t="0" r="0" b="0"/>
            <wp:docPr id="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D24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BD10B57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t>2. Получение диазосоединений</w:t>
      </w:r>
    </w:p>
    <w:p w14:paraId="0DACC88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8956DD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Низкая устойчивость алкандиазониевых солей не позволяет синтезировать диазоалканы посредством реакции диазотирования аминов в кислой среде. Возникающая в результате действия азотистой кислоты на алкиламин промежуточная соль алкилдиазония тотчас распадается, выделяя азот. Образующийся карбокатион быстро реагирует с любым нуклеофилом, присутствующим в реакционной среде, поэтому реакция аминов с азотистой кислотой в водом растворе приводит, главным образом, к образованию спиртов. При диазотировании алкиламинов в безводной уксусной кислоте продуктами превращения оказываются соответствующие алкилацетаты.</w:t>
      </w:r>
    </w:p>
    <w:p w14:paraId="57A3643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24851AC" w14:textId="7183101A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97A70E" wp14:editId="5480EFF9">
            <wp:extent cx="4084320" cy="1203960"/>
            <wp:effectExtent l="0" t="0" r="0" b="0"/>
            <wp:docPr id="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1F61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DFAE2E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Приведенные реакции протекают с хорошим, зачастую количественным, выходом, и поэтому они иногда используются для синтеза спиртов либо сложных алкилацетатов в тех случаях, когда соответствующий амин достаточно доступен.</w:t>
      </w:r>
    </w:p>
    <w:p w14:paraId="1CE00FF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 практике для синтеза диазометана сначала получают устойчивое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-нитрозосоединение, которое гидролизуют до диазометана щелочью под слоем эфира. Чаще всего применяют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-нитрозо-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-метилмочевину, при разложении которой образуются только газообразные продукты, диазометан поглощается эфирным слоем.</w:t>
      </w:r>
    </w:p>
    <w:p w14:paraId="5AD0377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0EBA7F2" w14:textId="1040D78A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F0A6EB" wp14:editId="5528909E">
            <wp:extent cx="4876800" cy="1028700"/>
            <wp:effectExtent l="0" t="0" r="0" b="0"/>
            <wp:docPr id="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6A3B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D1465A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Для получения ароматических солей диазония применяют реакцию диазотирования (П. Грисс), которая представляет собой взаимодействие первичных ариламинов с азотистой кислотой в избытке сильной минеральной кислоты. Неустойчивую азотистую кислоту генерируют, как правило, </w:t>
      </w:r>
      <w:r>
        <w:rPr>
          <w:color w:val="000000"/>
          <w:sz w:val="28"/>
          <w:szCs w:val="28"/>
          <w:lang w:val="en-US"/>
        </w:rPr>
        <w:t>in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situ</w:t>
      </w:r>
      <w:r>
        <w:rPr>
          <w:color w:val="000000"/>
          <w:sz w:val="28"/>
          <w:szCs w:val="28"/>
          <w:lang w:val="ru-RU"/>
        </w:rPr>
        <w:t>, внося нитрит натрия или калия в кислый реакционный раствор, содержащий ариламин.</w:t>
      </w:r>
    </w:p>
    <w:p w14:paraId="628D5EF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480D749" w14:textId="111CB274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404F40" wp14:editId="78954248">
            <wp:extent cx="3550920" cy="678180"/>
            <wp:effectExtent l="0" t="0" r="0" b="0"/>
            <wp:docPr id="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F62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E22AF1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Некоторые катионы диазония имеют структурные возможности стабилизации путем превращения с ковалентные диазосоединения, которые оказываются продуктами диазотирования.</w:t>
      </w:r>
    </w:p>
    <w:p w14:paraId="43A5359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406C3E5" w14:textId="68D60DCC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2D27D6" wp14:editId="4D0235C8">
            <wp:extent cx="5440680" cy="1143000"/>
            <wp:effectExtent l="0" t="0" r="0" b="0"/>
            <wp:docPr id="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5E55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B8BD01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 отдельных случаях применяют так называемый метод обратного диазотирования. Так, </w:t>
      </w:r>
      <w:r>
        <w:rPr>
          <w:i/>
          <w:iCs/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  <w:lang w:val="ru-RU"/>
        </w:rPr>
        <w:t xml:space="preserve">-диазобензолсульфокислоту получают, приливая щелочной раствор сульфаниловой кислоты и нитрита натрия к соляной кислоте. Труднорастворимая в воде внутренняя соль </w:t>
      </w:r>
      <w:r>
        <w:rPr>
          <w:i/>
          <w:iCs/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  <w:lang w:val="ru-RU"/>
        </w:rPr>
        <w:t>-диазобензолсульфокислоты выпадает в осадок.</w:t>
      </w:r>
    </w:p>
    <w:p w14:paraId="4DBBA10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21D9F1A" w14:textId="23DC9326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5E118F" wp14:editId="09808E37">
            <wp:extent cx="4564380" cy="708660"/>
            <wp:effectExtent l="0" t="0" r="0" b="0"/>
            <wp:docPr id="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713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29C99A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Диазотирование малоосновных аминов проводят в растворах с более высокой концентрацией кислоты и нередко используют более сильные кислоты. Так, если диазотирование анилина проводят в водном растворе, содержащем 3-4-кратный избыток соляной кислоты, то реакцию с нитроанилинами ведут в концентрированной серной кислоте.</w:t>
      </w:r>
    </w:p>
    <w:p w14:paraId="0CC06E1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Реакция начинается атакой непротонированного амина активной формой нитрозония. Эта стадия является лимитирующей, за ней следует ряда быстро протекающих стадий:</w:t>
      </w:r>
    </w:p>
    <w:p w14:paraId="4D4D60C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C873B2A" w14:textId="6A4650A5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6D48C77" wp14:editId="70CC5784">
            <wp:extent cx="5143500" cy="3192780"/>
            <wp:effectExtent l="0" t="0" r="0" b="0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597E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AD1EE29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ru-RU"/>
        </w:rPr>
        <w:lastRenderedPageBreak/>
        <w:t>3. Строение диазогруппы</w:t>
      </w:r>
    </w:p>
    <w:p w14:paraId="02AA61E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D7BA26E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Диазониевая группа состоит из </w:t>
      </w:r>
      <w:r>
        <w:rPr>
          <w:color w:val="000000"/>
          <w:sz w:val="28"/>
          <w:szCs w:val="28"/>
          <w:lang w:val="en-US"/>
        </w:rPr>
        <w:t>sp</w:t>
      </w:r>
      <w:r>
        <w:rPr>
          <w:color w:val="000000"/>
          <w:sz w:val="28"/>
          <w:szCs w:val="28"/>
          <w:lang w:val="ru-RU"/>
        </w:rPr>
        <w:t xml:space="preserve">-гибридных атомов азота, и, соответственно, имеет линейную геометрию. Длина связи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 короче, чем в соединениях с одинарными и двойными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-связями и колеблется около значения 110 пм. Это означает, что данную связь можно рассматривать как почти чисто тройную. В схеме, приведенный ниже длины связей даны пикометрах (пм).</w:t>
      </w:r>
    </w:p>
    <w:p w14:paraId="6B132DE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9D5D761" w14:textId="509BB0B8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1D9244" wp14:editId="4DB26A0F">
            <wp:extent cx="4160520" cy="571500"/>
            <wp:effectExtent l="0" t="0" r="0" b="0"/>
            <wp:docPr id="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48EDC" w14:textId="59BF4341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80F6CD" wp14:editId="5591E9B2">
            <wp:extent cx="3611880" cy="678180"/>
            <wp:effectExtent l="0" t="0" r="0" b="0"/>
            <wp:docPr id="1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979F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A28F63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Электронное строение диазометана можно представить следующими резонансными структурами:</w:t>
      </w:r>
    </w:p>
    <w:p w14:paraId="007B3F2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3328F77" w14:textId="7C7CB88B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88BD83" wp14:editId="4A9CCD4C">
            <wp:extent cx="3931920" cy="640080"/>
            <wp:effectExtent l="0" t="0" r="0" b="0"/>
            <wp:docPr id="1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688F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6B1750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 катионе фенилдиазония положительный заряд делокализован с участием p-электронной системы кольца, что снижает энергию частицы. В то же время сопряжение дизогруппы с кольцом увеличивает порядок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-связи. Все это делает катионы арилдиазониев намного более термодинамически стабильными системами в сравнении с алкилдиазониями.</w:t>
      </w:r>
    </w:p>
    <w:p w14:paraId="30E3C1C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C8E003E" w14:textId="5F9486BC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EDB166B" wp14:editId="00C9FA50">
            <wp:extent cx="4381500" cy="2766060"/>
            <wp:effectExtent l="0" t="0" r="0" b="0"/>
            <wp:docPr id="1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1FE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C50CD2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Как показывают данные квантовомеханических расчетов, положительный заряд присутствует на обоих атомах азота, на концевом - он вдвое меньше (+,0270), чем на центральном (+0,5842).</w:t>
      </w:r>
    </w:p>
    <w:p w14:paraId="12DB267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Разница длин связей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 в солях диазония (109пм) и в ковалентных дизазосоединениях (113 пм) свидетельствует, что "кумуленовая" граничная форма вносит больший вклад в состояние нейтральных диазосоединений нежели в состояние катионов арилдиазония. Это подтверждается большей устойчивостью нейтральных диазосоединений.</w:t>
      </w:r>
    </w:p>
    <w:p w14:paraId="7C5E654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C60901D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t>4. Устойчивость</w:t>
      </w:r>
    </w:p>
    <w:p w14:paraId="2F85864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07CE7D3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Понятия "устойчивость" и "реакционная способность" тесно связаны отношением: чем более устойчиво соединение, тем ниже его активность в химических реакциях. Говоря об устойчивости диазосоединений, имеют в виде два основных типа: термодинамичекую и кинетическую. Термодинамическая устойчивость относится к способности в ходе разложения отщеплять молекулу азота, тогда как кинетическая устойчивость характеризует степень электрофильности диазосединения.</w:t>
      </w:r>
    </w:p>
    <w:p w14:paraId="42D64C90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2441205" w14:textId="5D3CB71D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5F7D9D1" wp14:editId="69E04ED2">
            <wp:extent cx="4732020" cy="1912620"/>
            <wp:effectExtent l="0" t="0" r="0" b="0"/>
            <wp:docPr id="1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41E4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9B9BF0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Ковалентные диазосоединения, в которых диазогруппа сопряжена с кратными связями, например, диазопиразол или диазоурацил, термодинамически весьма устойчивы. Так, 5-диазоурацил не изменяется при нагревании в кристаллическом состоянии до 120</w:t>
      </w:r>
      <w:r>
        <w:rPr>
          <w:color w:val="000000"/>
          <w:sz w:val="28"/>
          <w:szCs w:val="28"/>
          <w:vertAlign w:val="superscript"/>
          <w:lang w:val="ru-RU"/>
        </w:rPr>
        <w:t>о</w:t>
      </w:r>
      <w:r>
        <w:rPr>
          <w:color w:val="000000"/>
          <w:sz w:val="28"/>
          <w:szCs w:val="28"/>
          <w:lang w:val="ru-RU"/>
        </w:rPr>
        <w:t>С, 3-диазопиррол может без разложения перегоняться с водяным паром.</w:t>
      </w:r>
    </w:p>
    <w:p w14:paraId="05E1CBC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2545F06" w14:textId="3FF551D4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6C03B0" wp14:editId="6974C6A3">
            <wp:extent cx="2971800" cy="1249680"/>
            <wp:effectExtent l="0" t="0" r="0" b="0"/>
            <wp:docPr id="1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E441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91626A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Среди алифатических диазосоединений самым нестойким является диазометан, он разлагается со взрывом и поэтому работа с ним требует особой осторожности. Кроме того, он очень ядовит. В то же время диазокетоны, диазоуксусный эфир по причине сопряжения диазогруппы с карбонильной (карбоксильной) группой проявляют более высокую стабильность.</w:t>
      </w:r>
    </w:p>
    <w:p w14:paraId="21D6A74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2DBD589" w14:textId="2E368735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D64BD4" wp14:editId="63938A89">
            <wp:extent cx="3832860" cy="922020"/>
            <wp:effectExtent l="0" t="0" r="0" b="0"/>
            <wp:docPr id="1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BCFF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285555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Многим нейтральным диазосоединениям свойственна также высокая кинетическая устойчивость и лишь некоторые из них могут вступать в качестве диазосоставляющей в реакции азосочетания при обычных условиях.</w:t>
      </w:r>
    </w:p>
    <w:p w14:paraId="702725E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8E5ACBE" w14:textId="3A1C9BA1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3A27FC80" wp14:editId="3E0AA9B0">
            <wp:extent cx="3718560" cy="3421380"/>
            <wp:effectExtent l="0" t="0" r="0" b="0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0B3E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7A1F48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Термодинамическая стабильность солей диазония, которую можно оценить их отношением к нагреванию, приводящему к разложению с выделением азота, заметным образом определяется характером и расположением заместителей в ароматическом кольце. Термическое разложение солей замедляется при введении в </w:t>
      </w:r>
      <w:r>
        <w:rPr>
          <w:i/>
          <w:iCs/>
          <w:color w:val="000000"/>
          <w:sz w:val="28"/>
          <w:szCs w:val="28"/>
          <w:lang w:val="ru-RU"/>
        </w:rPr>
        <w:t>пара</w:t>
      </w:r>
      <w:r>
        <w:rPr>
          <w:color w:val="000000"/>
          <w:sz w:val="28"/>
          <w:szCs w:val="28"/>
          <w:lang w:val="ru-RU"/>
        </w:rPr>
        <w:t>-положение как донорных, так и акцепторных заместителей, обладающих мезомерным эффектом.</w:t>
      </w:r>
    </w:p>
    <w:p w14:paraId="3B2E38C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Кинетическая стабильность, т.е. электрофильная активность арендиазониев также сильно зависит от заместителей в кольце. Так, реакция азосочетания с фенолами ускоряется акцепторными заместителями и замедляется донорными. Однако влияние природы заместителей на термодинамическую устойчивость и электрофильность катионов диазония зачастую не совпадают, что наглядно иллюстрирует сравнение относительных скоростей реакции разложения и азосочетания трех катионов фенил-, </w:t>
      </w:r>
      <w:r>
        <w:rPr>
          <w:i/>
          <w:iCs/>
          <w:color w:val="000000"/>
          <w:sz w:val="28"/>
          <w:szCs w:val="28"/>
          <w:lang w:val="ru-RU"/>
        </w:rPr>
        <w:t>пара</w:t>
      </w:r>
      <w:r>
        <w:rPr>
          <w:color w:val="000000"/>
          <w:sz w:val="28"/>
          <w:szCs w:val="28"/>
          <w:lang w:val="ru-RU"/>
        </w:rPr>
        <w:t xml:space="preserve">-метоксифенил и </w:t>
      </w:r>
      <w:r>
        <w:rPr>
          <w:i/>
          <w:iCs/>
          <w:color w:val="000000"/>
          <w:sz w:val="28"/>
          <w:szCs w:val="28"/>
          <w:lang w:val="ru-RU"/>
        </w:rPr>
        <w:t>пара</w:t>
      </w:r>
      <w:r>
        <w:rPr>
          <w:color w:val="000000"/>
          <w:sz w:val="28"/>
          <w:szCs w:val="28"/>
          <w:lang w:val="ru-RU"/>
        </w:rPr>
        <w:t>-нитрофенилдиазония:</w:t>
      </w:r>
    </w:p>
    <w:p w14:paraId="774424E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Относительные скорости реакции:</w:t>
      </w:r>
    </w:p>
    <w:p w14:paraId="0C493F4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10DAD5B" w14:textId="0C70E49B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0E9756" wp14:editId="79D21B5E">
            <wp:extent cx="5143500" cy="754380"/>
            <wp:effectExtent l="0" t="0" r="0" b="0"/>
            <wp:docPr id="1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0741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632964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разложение 0,11 740 3,1</w:t>
      </w:r>
    </w:p>
    <w:p w14:paraId="6DBB3E2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сочетание с фенолом 0,1 1 1300</w:t>
      </w:r>
    </w:p>
    <w:p w14:paraId="434BAE9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Механизм влияния заместителей легко представить с помощью </w:t>
      </w:r>
      <w:r>
        <w:rPr>
          <w:color w:val="000000"/>
          <w:sz w:val="28"/>
          <w:szCs w:val="28"/>
          <w:lang w:val="ru-RU"/>
        </w:rPr>
        <w:lastRenderedPageBreak/>
        <w:t>резонансных структур, в которых заместитель включен в общую систему распределения электронной плотности</w:t>
      </w:r>
    </w:p>
    <w:p w14:paraId="4975A3A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11444D7" w14:textId="2CB33B2C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D09A1A" wp14:editId="12C50DE8">
            <wp:extent cx="4061460" cy="1653540"/>
            <wp:effectExtent l="0" t="0" r="0" b="0"/>
            <wp:docPr id="1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B9A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45C3BCB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t>5. Реакции без выделения азота</w:t>
      </w:r>
    </w:p>
    <w:p w14:paraId="116ECB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28DC825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Реакции азосочетания</w:t>
      </w:r>
    </w:p>
    <w:p w14:paraId="74442E9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Наличие положительного заряда на центральном атоме азота придает катионам диазония и нейтральным диазосоединениям свойства слабых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-электрофилов. Несмотря на то, что положительный заряд на концевом атоме азота почти в два раза меньше, чем заряд на центральном атоме азота реагирующим электрофильным центром является концевой атом азота.</w:t>
      </w:r>
    </w:p>
    <w:p w14:paraId="76BD7B4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E2F33D3" w14:textId="58542655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B4CBD0" wp14:editId="53AABE52">
            <wp:extent cx="3299460" cy="457200"/>
            <wp:effectExtent l="0" t="0" r="0" b="0"/>
            <wp:docPr id="1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4082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E1AC77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Реакция азосочетания представляет собой бимолекулярное электрофильное замещение (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vertAlign w:val="subscript"/>
          <w:lang w:val="en-US"/>
        </w:rPr>
        <w:t>E</w:t>
      </w:r>
      <w:r>
        <w:rPr>
          <w:color w:val="000000"/>
          <w:sz w:val="28"/>
          <w:szCs w:val="28"/>
          <w:lang w:val="ru-RU"/>
        </w:rPr>
        <w:t>2) атома водорода при электроноизбыточном атоме углерода, когда в качестве электрофила выступает диазониевый ион. Для описания реакций азосочетания часто применяют специальную терминологию: нуклеофильный реагент называют "азосоставляющей", электрофильный - "диазосоставляющей". В качестве азосоставляющей чаще всего выступают высоко p-избыточные ароматические субстраты - фенолы (предпочтительно в форме фенолятов), ариламины, гетероциклы.</w:t>
      </w:r>
    </w:p>
    <w:p w14:paraId="1462282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4AA00A9" w14:textId="5D81164A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CFBA168" wp14:editId="7F904A58">
            <wp:extent cx="5151120" cy="2522220"/>
            <wp:effectExtent l="0" t="0" r="0" b="0"/>
            <wp:docPr id="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0D3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950BFB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Продукты реакции содержат -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=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-группу и называются азосоединениями, многие из них являются азокрасителями. Следует подчеркнуть, что окраска вещества, обусловленная присутствием в молекуле заместителей, которые называются хромофорами (в данном случае - это азогруппа), является необходимым, но недостаточным условием принадлежности соединения к красителям. Молекула окрашенного соединения должна иметь заместители, которые углубляют окраску и обеспечивают прочную связь с волокном (хлопком, шерстью и др.). Такие заместители называются ауксохромами. К ним относятся группы - 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  <w:lang w:val="ru-RU"/>
        </w:rPr>
        <w:t xml:space="preserve">, - </w:t>
      </w:r>
      <w:r>
        <w:rPr>
          <w:color w:val="000000"/>
          <w:sz w:val="28"/>
          <w:szCs w:val="28"/>
          <w:lang w:val="en-US"/>
        </w:rPr>
        <w:t>NR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, - 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lang w:val="ru-RU"/>
        </w:rPr>
        <w:t xml:space="preserve">, - </w:t>
      </w:r>
      <w:r>
        <w:rPr>
          <w:color w:val="000000"/>
          <w:sz w:val="28"/>
          <w:szCs w:val="28"/>
          <w:lang w:val="en-US"/>
        </w:rPr>
        <w:t>CN</w:t>
      </w:r>
      <w:r>
        <w:rPr>
          <w:color w:val="000000"/>
          <w:sz w:val="28"/>
          <w:szCs w:val="28"/>
          <w:lang w:val="ru-RU"/>
        </w:rPr>
        <w:t>.</w:t>
      </w:r>
    </w:p>
    <w:p w14:paraId="09D6BDA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E373732" w14:textId="06863ED6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6C117E" wp14:editId="11FBDE27">
            <wp:extent cx="4526280" cy="13106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D261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5BC4C8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Сочетание с фенолами проводят в слабощелочной среде (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  <w:lang w:val="ru-RU"/>
        </w:rPr>
        <w:t>&lt;9), чтобы повысить концентрацию более нуклеофильных фенолят-анионов; в сильнощелочной среде реакция не идет из-за превращения диазосоставляющей в инертный диазотат (см. ниже). Амины лучше всего сочетаются в слабокислой или нейтральной среде (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  <w:lang w:val="ru-RU"/>
        </w:rPr>
        <w:t xml:space="preserve"> 4-7); сильнокислая среда пассивирует амин за счет протонирования.</w:t>
      </w:r>
    </w:p>
    <w:p w14:paraId="03CFB13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Диазониевые ионы активно сочетаются с СН-кислотами типа b-дикетонов и b-кетоэфиров, особенно, в присутствии оснований; это неудивительно, т.к. электронное строение азосоставляющих - енолов и енолят-анионов - имеет много общего с фенолами и фенолятами. Продукт данной реакции существует в виде смеси таутомерных форм азоенола (А) и кетогидразона (Б), причем </w:t>
      </w:r>
      <w:r>
        <w:rPr>
          <w:color w:val="000000"/>
          <w:sz w:val="28"/>
          <w:szCs w:val="28"/>
          <w:lang w:val="ru-RU"/>
        </w:rPr>
        <w:lastRenderedPageBreak/>
        <w:t>преобладает последняя.</w:t>
      </w:r>
    </w:p>
    <w:p w14:paraId="51CED90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768F561" w14:textId="0F04AB71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E7B8CF" wp14:editId="0B81D63D">
            <wp:extent cx="5303520" cy="1333500"/>
            <wp:effectExtent l="0" t="0" r="0" b="0"/>
            <wp:docPr id="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A4C2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A692E3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Если при активном центре СН-кислоты имеется карбоксильная группа, то она в ходе азосочетания легко отщепляется путем декарбоксилирования. Как и в случае b-кетокарбоновых кислот, декарбоксилирование протекает через шестицентровое циклическое переходное состояние.</w:t>
      </w:r>
    </w:p>
    <w:p w14:paraId="501DF17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7C4DF4F" w14:textId="4C373ED2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A9B337" wp14:editId="224BACF7">
            <wp:extent cx="5097780" cy="1021080"/>
            <wp:effectExtent l="0" t="0" r="0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7B051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</w:p>
    <w:p w14:paraId="0FF3EC5E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Реакции с гетеронуклеофилами</w:t>
      </w:r>
    </w:p>
    <w:p w14:paraId="1BBF9CE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солей диазония известны такие реакции, где в качестве нуклеофила выступает не атом углерода, но атомы других элементов - азота, кислорода, серы и др. Так, при подщелачивании раствора соли арилдиазония образуется сначала ковалентный аддукт - диазогидрат, а затем, при повышении 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  <w:lang w:val="ru-RU"/>
        </w:rPr>
        <w:t xml:space="preserve"> - ионное соединение, называемое солью диазотовой кислоты, или диазотатом. Как и другие азосоединения, диазогидрат и диазотат могут существовать в виде </w:t>
      </w:r>
      <w:r>
        <w:rPr>
          <w:i/>
          <w:iCs/>
          <w:color w:val="000000"/>
          <w:sz w:val="28"/>
          <w:szCs w:val="28"/>
          <w:lang w:val="ru-RU"/>
        </w:rPr>
        <w:t>син</w:t>
      </w:r>
      <w:r>
        <w:rPr>
          <w:color w:val="000000"/>
          <w:sz w:val="28"/>
          <w:szCs w:val="28"/>
          <w:lang w:val="ru-RU"/>
        </w:rPr>
        <w:t xml:space="preserve"> - и </w:t>
      </w:r>
      <w:r>
        <w:rPr>
          <w:i/>
          <w:iCs/>
          <w:color w:val="000000"/>
          <w:sz w:val="28"/>
          <w:szCs w:val="28"/>
          <w:lang w:val="ru-RU"/>
        </w:rPr>
        <w:t>анти</w:t>
      </w:r>
      <w:r>
        <w:rPr>
          <w:color w:val="000000"/>
          <w:sz w:val="28"/>
          <w:szCs w:val="28"/>
          <w:lang w:val="ru-RU"/>
        </w:rPr>
        <w:t xml:space="preserve">-изомеров. </w:t>
      </w:r>
      <w:r>
        <w:rPr>
          <w:i/>
          <w:iCs/>
          <w:color w:val="000000"/>
          <w:sz w:val="28"/>
          <w:szCs w:val="28"/>
          <w:lang w:val="ru-RU"/>
        </w:rPr>
        <w:t>Анти</w:t>
      </w:r>
      <w:r>
        <w:rPr>
          <w:color w:val="000000"/>
          <w:sz w:val="28"/>
          <w:szCs w:val="28"/>
          <w:lang w:val="ru-RU"/>
        </w:rPr>
        <w:t xml:space="preserve"> - (</w:t>
      </w:r>
      <w:r>
        <w:rPr>
          <w:i/>
          <w:iCs/>
          <w:color w:val="000000"/>
          <w:sz w:val="28"/>
          <w:szCs w:val="28"/>
          <w:lang w:val="ru-RU"/>
        </w:rPr>
        <w:t>транс</w:t>
      </w:r>
      <w:r>
        <w:rPr>
          <w:color w:val="000000"/>
          <w:sz w:val="28"/>
          <w:szCs w:val="28"/>
          <w:lang w:val="ru-RU"/>
        </w:rPr>
        <w:t xml:space="preserve">) - изомеры устойчивее </w:t>
      </w:r>
      <w:r>
        <w:rPr>
          <w:i/>
          <w:iCs/>
          <w:color w:val="000000"/>
          <w:sz w:val="28"/>
          <w:szCs w:val="28"/>
          <w:lang w:val="ru-RU"/>
        </w:rPr>
        <w:t>син</w:t>
      </w:r>
      <w:r>
        <w:rPr>
          <w:color w:val="000000"/>
          <w:sz w:val="28"/>
          <w:szCs w:val="28"/>
          <w:lang w:val="ru-RU"/>
        </w:rPr>
        <w:t>-изомеров, хотя последние все же могут быть получены и зафиксированы в растворе.</w:t>
      </w:r>
    </w:p>
    <w:p w14:paraId="20F4149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EC63B7F" w14:textId="1DA171BE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4D32E6" wp14:editId="3BB4AEC4">
            <wp:extent cx="3893820" cy="2286000"/>
            <wp:effectExtent l="0" t="0" r="0" b="0"/>
            <wp:docPr id="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546C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7D96A1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Присоединение к диазогруппе азотцентрированных нуклеофилов можно проиллюстрировать на примере диалкиламинов: выделенная из диазораствора и высушенная соль диазония в безводной среде быстро реагирует с диметиламином или морфолином, давая соответствующие триазены.</w:t>
      </w:r>
    </w:p>
    <w:p w14:paraId="1AC7720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06E84E7" w14:textId="17FAB2CD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A68D4E" wp14:editId="3FCF8A55">
            <wp:extent cx="4762500" cy="1501140"/>
            <wp:effectExtent l="0" t="0" r="0" b="0"/>
            <wp:docPr id="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D969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7B7F93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Соли диазония сочетаются по аминогруппе с молекулами анилина, которые еще не успеди продиазотироваться. Поэтому при диазотировании анилина иногда наблюдается побочная реакция образования дифенилтриазена (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-фениламиноазобензола), который является продуктом сочетания анилина с фенилдиазонием по атому азота. Обычно это происходит при недостаточной концентрации минеральной кислоты.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 xml:space="preserve">-Фениламиноазобензол до действием сильных кислот перегруппировывается в </w:t>
      </w:r>
      <w:r>
        <w:rPr>
          <w:i/>
          <w:iCs/>
          <w:color w:val="000000"/>
          <w:sz w:val="28"/>
          <w:szCs w:val="28"/>
          <w:lang w:val="ru-RU"/>
        </w:rPr>
        <w:t>пара</w:t>
      </w:r>
      <w:r>
        <w:rPr>
          <w:color w:val="000000"/>
          <w:sz w:val="28"/>
          <w:szCs w:val="28"/>
          <w:lang w:val="ru-RU"/>
        </w:rPr>
        <w:t>-аминоазобензол.</w:t>
      </w:r>
    </w:p>
    <w:p w14:paraId="17E1DB8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EAF8443" w14:textId="46905BD1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87A49A" wp14:editId="20E9DB57">
            <wp:extent cx="4427220" cy="1866900"/>
            <wp:effectExtent l="0" t="0" r="0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DD5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1458576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Как правило, О-азо - и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-азосоединения сравнительно неустойчивы, существуют в таутомерном равновесии с парой соответствующих ионов или гидролизуются (особенно в присутствии кислот) с выделением исходных - нуклеофила и соли диазония. Последняя затем вступает в дальнейшие превращения.</w:t>
      </w:r>
    </w:p>
    <w:p w14:paraId="531DC97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8C6027D" w14:textId="21508D57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3C29BCA" wp14:editId="2AC34C3D">
            <wp:extent cx="4884420" cy="937260"/>
            <wp:effectExtent l="0" t="0" r="0" b="0"/>
            <wp:docPr id="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5AB7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</w:p>
    <w:p w14:paraId="6856E822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Восстановление</w:t>
      </w:r>
    </w:p>
    <w:p w14:paraId="69144F6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Как электрофил соль арилдиазония образует аддукт с нуклеофилом - гидросульфит-ионом. Это малоустойчивое солеобразное соединение в растворе склонно к присоединению молекулы гидросульфита. Разложение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’-дигидросульфитпроизводного при подкислении приводит к образованию арилгидразина; лучшие результаты достигаются при добавлении более мощного восстановителя в кислой среде - цинковой пыли. Эта реакция позволяет получать арилгидразины, зачастую труднодоступные другими методами.</w:t>
      </w:r>
    </w:p>
    <w:p w14:paraId="4B36B6D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D127968" w14:textId="3EE33C7B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DF40D1" wp14:editId="02883844">
            <wp:extent cx="4838700" cy="1196340"/>
            <wp:effectExtent l="0" t="0" r="0" b="0"/>
            <wp:docPr id="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84FF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7AF9D20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Циклоприсоединение</w:t>
      </w:r>
    </w:p>
    <w:p w14:paraId="072BC6E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Диазосоединения алифатического ряда легко вступают в реакции циклоприсоединения в качестве 1,3-диполей. Это превращение используется для синтеза гетероциклических соединений - пиразолов и конденсированных гетероциклов, содержащих пиразольное ядро.</w:t>
      </w:r>
    </w:p>
    <w:p w14:paraId="3579F2B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2623BAA" w14:textId="2065FE09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C660C0" wp14:editId="79C547F2">
            <wp:extent cx="4122420" cy="1066800"/>
            <wp:effectExtent l="0" t="0" r="0" b="0"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7BE0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161E125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t>6. Реакции диазоалканов с выделением азота</w:t>
      </w:r>
    </w:p>
    <w:p w14:paraId="130710A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117743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Выше было показано, что одним из характерных свойств диазосоединений является склонность к распаду с выделением молекулы азота. Движущей силой этого процесса являются низкая термодинамическая устойчивость алкилдиазониев и образование в ходе разложения устойчивой молекулы азота. </w:t>
      </w:r>
      <w:r>
        <w:rPr>
          <w:color w:val="000000"/>
          <w:sz w:val="28"/>
          <w:szCs w:val="28"/>
          <w:lang w:val="ru-RU"/>
        </w:rPr>
        <w:lastRenderedPageBreak/>
        <w:t>Это свойство является причиной целого ряда превращений, многие из которых имеют синтетическое значение.</w:t>
      </w:r>
    </w:p>
    <w:p w14:paraId="4BD26B19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Простейшая реакция диазоалканов с выделением азота - кислотный гидролиз в момент образования из аминов - была рассмотрена выше.</w:t>
      </w:r>
    </w:p>
    <w:p w14:paraId="6263875B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Диазоалканы и, в первую очередь, диазометан, подвергаются ацилированию по электроноизбыточному атому углерода действием хлорангидридов и ангидридов карбоновых кислот. Взаимодействие диазометана с ацилхлоридами лежит в основе одного из важных способов удлинения длины углеродной цепи карбоновых кислот. На одной из промежуточных стадий реакции возникает a-диазокетон, который является сравнительно устойчивым соединением. При обработке последнего влажной окисью серебра происходит разрыв связи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ru-RU"/>
        </w:rPr>
        <w:t>, выделяется молекула азота, и образуется кетокарбен - неустойчивое нейтральное соединение с двумя электронами на атоме углерода. Кетокарбен стабилизируется путем [1,2] - сдвига, в ходе которого заместитель при карбонильной группе переходит к карбеновому С-атому, что приводит к образованию производного кетена. Гидролиз последнего дает карбоновую кислоту.</w:t>
      </w:r>
    </w:p>
    <w:p w14:paraId="1F4C8FC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73426A5" w14:textId="4FA72DEE" w:rsidR="00000000" w:rsidRDefault="00FF4395">
      <w:pPr>
        <w:ind w:firstLine="709"/>
        <w:rPr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B7A82E4" wp14:editId="7EC7BCE9">
            <wp:extent cx="5227320" cy="2506980"/>
            <wp:effectExtent l="0" t="0" r="0" b="0"/>
            <wp:docPr id="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B7CF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61B6786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Стадия превращения диазокетона в кетен носит название </w:t>
      </w:r>
      <w:r>
        <w:rPr>
          <w:color w:val="000000"/>
          <w:sz w:val="28"/>
          <w:szCs w:val="28"/>
          <w:lang w:val="ru-RU"/>
        </w:rPr>
        <w:lastRenderedPageBreak/>
        <w:t>перегруппировки Вольфа. Рассмотренное превращение имеет аналогию с реакцией расщепления амидов кислот по Гофману. Различие этих двух реакций состоит в том, что в реакции Гофмана [1,2] - миграция заместителя от карбонила осуществляется к нитреновому атому азота.</w:t>
      </w:r>
    </w:p>
    <w:p w14:paraId="30352138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1481E1D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ru-RU"/>
        </w:rPr>
      </w:pPr>
      <w:r>
        <w:rPr>
          <w:b/>
          <w:bCs/>
          <w:i/>
          <w:iCs/>
          <w:smallCaps/>
          <w:noProof/>
          <w:sz w:val="28"/>
          <w:szCs w:val="28"/>
          <w:lang w:val="ru-RU"/>
        </w:rPr>
        <w:t>7. Реакции солей диазония с выделением азота</w:t>
      </w:r>
    </w:p>
    <w:p w14:paraId="46B7FDE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B953A34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Превращения солей диазония, протекающие с выделением азота, весьма разнообразны. Они протекают с промежуточным возникновением ионных, радикальных и ион-радикальных частиц.</w:t>
      </w:r>
    </w:p>
    <w:p w14:paraId="46E6984F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Реакции мономолекулярного ароматического нуклеофильного замещения (</w:t>
      </w:r>
      <w:r>
        <w:rPr>
          <w:b/>
          <w:bCs/>
          <w:color w:val="000000"/>
          <w:sz w:val="28"/>
          <w:szCs w:val="28"/>
          <w:lang w:val="en-US"/>
        </w:rPr>
        <w:t>S</w:t>
      </w:r>
      <w:r>
        <w:rPr>
          <w:b/>
          <w:bCs/>
          <w:color w:val="000000"/>
          <w:sz w:val="28"/>
          <w:szCs w:val="28"/>
          <w:vertAlign w:val="subscript"/>
          <w:lang w:val="en-US"/>
        </w:rPr>
        <w:t>N</w:t>
      </w:r>
      <w:r>
        <w:rPr>
          <w:b/>
          <w:bCs/>
          <w:color w:val="000000"/>
          <w:sz w:val="28"/>
          <w:szCs w:val="28"/>
          <w:lang w:val="ru-RU"/>
        </w:rPr>
        <w:t>1 Ar)</w:t>
      </w:r>
    </w:p>
    <w:p w14:paraId="176DEA1D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Соли арилдиазония, как подчеркивалось выше, в меньшей степени, чем их алифатические аналоги, способны к гетеролитической диссоциации с выделением молекулы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. Когла такое превращение реализуется, образуется арильный катион, не стабилизированный резонансом. Эту частицу называют s-катионом, потому что он при наличии заселенных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lang w:val="ru-RU"/>
        </w:rPr>
        <w:t xml:space="preserve">-орбиталей обладает вакантной </w:t>
      </w:r>
      <w:r>
        <w:rPr>
          <w:color w:val="000000"/>
          <w:sz w:val="28"/>
          <w:szCs w:val="28"/>
          <w:lang w:val="en-US"/>
        </w:rPr>
        <w:t>sp</w:t>
      </w:r>
      <w:r>
        <w:rPr>
          <w:color w:val="000000"/>
          <w:sz w:val="28"/>
          <w:szCs w:val="28"/>
          <w:vertAlign w:val="super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>-гибридной орбиталью, которая находится вне ароматического кольца. Строение s-катиона можно также описать не только в виде ароматического кольца с одной вакантной внешней орбиталью, но также как частицу, в которой один электрон, "вырванный" из ароматического секстета, находится на внешней s-орбитали, другой - в кольце. Последнее имеет подтвержения данными спектроскопии электронного парамагнитноо резонанса (ЭПР).</w:t>
      </w:r>
    </w:p>
    <w:p w14:paraId="6EBB2516" w14:textId="77777777" w:rsidR="00000000" w:rsidRDefault="00000000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C8AB2EF" w14:textId="16CFCC1C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FC0FD6" wp14:editId="7F2703F5">
            <wp:extent cx="2293620" cy="731520"/>
            <wp:effectExtent l="0" t="0" r="0" b="0"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2AB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B1617D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Нуклеофильное замещение диазониевой группы гидроксилом происходит при нагревании сернокислого раствора соли фенилдиазония в 40% -серной </w:t>
      </w:r>
      <w:r>
        <w:rPr>
          <w:color w:val="000000"/>
          <w:sz w:val="28"/>
          <w:szCs w:val="28"/>
          <w:lang w:val="ru-RU"/>
        </w:rPr>
        <w:lastRenderedPageBreak/>
        <w:t>кислоте. Возникающий в результате диссоциации s-катион реагирует с водой, давая фенол.</w:t>
      </w:r>
    </w:p>
    <w:p w14:paraId="299DE59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97D415F" w14:textId="52C6E790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F8689F" wp14:editId="0B9AF573">
            <wp:extent cx="4930140" cy="655320"/>
            <wp:effectExtent l="0" t="0" r="0" b="0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1B4D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4C3D2C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Реакция имеет синтетическое значение, и используется для получения труднодоступных фенолов из нитроаренов через анилины и, далее, через соли диазония.</w:t>
      </w:r>
    </w:p>
    <w:p w14:paraId="677A165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Другое важное превращение, протекающее через стадию образования арильных катионов, - реакция Шимана, состоящая в термическом разложении сухих тетрафторборатов арилдиазония. Механизм этой реакции до конца не выяснен. По-видимому, в условиях термолиза происходит диссоциация катиона диазония на арил-катион и азот, и противоиона - на трифторид бора и фторид-ион. Последний сразу же присоединяется к положительно заряженному центру, что приводит к фторпроизводному арена.</w:t>
      </w:r>
    </w:p>
    <w:p w14:paraId="51B8506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6F1C48E" w14:textId="55284C00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D27A8D" wp14:editId="368987B7">
            <wp:extent cx="4328160" cy="1021080"/>
            <wp:effectExtent l="0" t="0" r="0" b="0"/>
            <wp:docPr id="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E517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457AF1F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Не исключается, однако, возможность того, арильный катион, обладая высокой активностью способен прореагировать с анионом тетраброфторида по пути прямого электрофильного замещения трифторида бора при одном из атомов фтора в анионе. Реакция Шимана имеет важное значение для синтеза фторароматических соединений, которые, как известно, не могут быть получены путем прямого фторирования аренов.</w:t>
      </w:r>
    </w:p>
    <w:p w14:paraId="42E62C4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Отметим, что ионные реакции солей диазония - единственный пример реализации мономолекулярного нуклеофильного замещения в ароматическом ряду (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  <w:lang w:val="en-US"/>
        </w:rPr>
        <w:t>Ar</w:t>
      </w:r>
      <w:r>
        <w:rPr>
          <w:color w:val="000000"/>
          <w:sz w:val="28"/>
          <w:szCs w:val="28"/>
          <w:lang w:val="ru-RU"/>
        </w:rPr>
        <w:t>); другие функциональные производные аренов не способны к самопроизвольной диссоциации с образованием арильных катионов.</w:t>
      </w:r>
    </w:p>
    <w:p w14:paraId="133C73FC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Радикальные реакции</w:t>
      </w:r>
    </w:p>
    <w:p w14:paraId="113A512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Замещение диазониевой группы иодом протекает легко и не требует присутствия катализатора. Причина легкости реакции замещения заключается в том, что иодид-ион является сильным одноэлектронным восстановителем. Он превращает соль диазония в радикал. После элиминирования азота развитие цепи происходит в результате взаимодействия фенильного радикала с иодид-ионом, возникший анион-радикал далее реагирует с катионом диазония.</w:t>
      </w:r>
    </w:p>
    <w:p w14:paraId="05473CE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8F727B5" w14:textId="7455F9E8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B41E15" wp14:editId="7C4B6B08">
            <wp:extent cx="4732020" cy="899160"/>
            <wp:effectExtent l="0" t="0" r="0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056C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DCBE2B2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Т. Зандмейер нашел, что, в отличие от замещения диазогруппы иодом, замещение хлором, бромом, циано-группой требует применения в качестве катализатора солей меди (I). Механизм реакции Зандмейера окончательно не установлен, но предполагается, что катионы Cu</w:t>
      </w:r>
      <w:r>
        <w:rPr>
          <w:color w:val="000000"/>
          <w:sz w:val="28"/>
          <w:szCs w:val="28"/>
          <w:vertAlign w:val="superscript"/>
          <w:lang w:val="ru-RU"/>
        </w:rPr>
        <w:t>+1</w:t>
      </w:r>
      <w:r>
        <w:rPr>
          <w:color w:val="000000"/>
          <w:sz w:val="28"/>
          <w:szCs w:val="28"/>
          <w:lang w:val="ru-RU"/>
        </w:rPr>
        <w:t xml:space="preserve"> одноэлектронно восстанавливают катион диазония до диазорадикала. Медь при этом переходит в высшую степень окисления (+2). Диазо-радикал сразу же после образования распадается на арил-радикал и молекулу азота. Далее арильный радикал окисляется ионом </w:t>
      </w:r>
      <w:r>
        <w:rPr>
          <w:color w:val="000000"/>
          <w:sz w:val="28"/>
          <w:szCs w:val="28"/>
          <w:lang w:val="en-US"/>
        </w:rPr>
        <w:t>Cu</w:t>
      </w:r>
      <w:r>
        <w:rPr>
          <w:color w:val="000000"/>
          <w:sz w:val="28"/>
          <w:szCs w:val="28"/>
          <w:lang w:val="ru-RU"/>
        </w:rPr>
        <w:t xml:space="preserve">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ru-RU"/>
        </w:rPr>
        <w:t>) до катиона, который сразу же соединяется с нуклеофилом.</w:t>
      </w:r>
    </w:p>
    <w:p w14:paraId="61C46DB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7B15E38" w14:textId="77FFBD93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F2E192" wp14:editId="03CD59EE">
            <wp:extent cx="5196840" cy="731520"/>
            <wp:effectExtent l="0" t="0" r="0" b="0"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85D4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69FBCA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Реакция Зандмейера носит практически универсальный характер, и позволяет ввести в молекулу атоматического соединения целый ряд нуклеофилов - галогены, нитро-, циано-, меркаптогруппу и т.д. Для ее успешного проведения нужно использовать соответствующие соли одновалентной меди - галогениды, нитрит, цианид, сульфид.</w:t>
      </w:r>
    </w:p>
    <w:p w14:paraId="6914DAFC" w14:textId="77777777" w:rsidR="00000000" w:rsidRDefault="00000000">
      <w:pPr>
        <w:ind w:firstLine="709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Восстановление</w:t>
      </w:r>
    </w:p>
    <w:p w14:paraId="6021D5A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 свободнорадикальному механизму идет восстановление солей диазония фосфорноватистой кислотой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en-US"/>
        </w:rPr>
        <w:t>PO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. На первой стадии этого превращения тоже предполагается одноэлектронное восстановление катиона диазония и затем - распад диазо-радикала. Это подтверждается тем, что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ru-RU"/>
        </w:rPr>
        <w:t>3</w:t>
      </w:r>
      <w:r>
        <w:rPr>
          <w:color w:val="000000"/>
          <w:sz w:val="28"/>
          <w:szCs w:val="28"/>
          <w:lang w:val="en-US"/>
        </w:rPr>
        <w:t>PO</w:t>
      </w:r>
      <w:r>
        <w:rPr>
          <w:color w:val="000000"/>
          <w:sz w:val="28"/>
          <w:szCs w:val="28"/>
          <w:vertAlign w:val="subscript"/>
          <w:lang w:val="ru-RU"/>
        </w:rPr>
        <w:t>2</w:t>
      </w:r>
      <w:r>
        <w:rPr>
          <w:color w:val="000000"/>
          <w:sz w:val="28"/>
          <w:szCs w:val="28"/>
          <w:lang w:val="ru-RU"/>
        </w:rPr>
        <w:t xml:space="preserve"> катализирует другие свободно-радикальные реакции солей диазония.</w:t>
      </w:r>
    </w:p>
    <w:p w14:paraId="0D0F4FC7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F74376C" w14:textId="5C2116EC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C484FE" wp14:editId="263F0EA2">
            <wp:extent cx="3383280" cy="617220"/>
            <wp:effectExtent l="0" t="0" r="0" b="0"/>
            <wp:docPr id="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F19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9061E8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Сначала происходит передача одного электрона от аниона фосфорноватистой кислоты катиону диазония и распад арилдиазорадикала с образованием арильного радикала (инициирование цепи)</w:t>
      </w:r>
    </w:p>
    <w:p w14:paraId="0ACD9BC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0CDEC5E4" w14:textId="3319C1E2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002ECDC8" wp14:editId="241ACC3B">
            <wp:extent cx="5036820" cy="769620"/>
            <wp:effectExtent l="0" t="0" r="0" b="0"/>
            <wp:docPr id="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A7B11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7F3020B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На следующих стадиях (развитие цепи) проявляется способность фосфорноватистой кислоты одноэлектронно восстанавливать соли диазония за счет легкости гомолиза связи Р-Н</w:t>
      </w:r>
    </w:p>
    <w:p w14:paraId="746377F3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6FD881C" w14:textId="03DEC5C4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992C67" wp14:editId="6BDFCD95">
            <wp:extent cx="4457700" cy="1813560"/>
            <wp:effectExtent l="0" t="0" r="0" b="0"/>
            <wp:docPr id="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6420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81D042E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Реакция имеет большое значение в синтезе различных замещенных бензолов. Например:</w:t>
      </w:r>
    </w:p>
    <w:p w14:paraId="4C362969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54DF6CAC" w14:textId="77777777" w:rsidR="00000000" w:rsidRDefault="00000000">
      <w:pPr>
        <w:spacing w:line="360" w:lineRule="auto"/>
        <w:ind w:firstLine="709"/>
        <w:jc w:val="both"/>
        <w:rPr>
          <w:color w:val="FFFFFF"/>
          <w:sz w:val="28"/>
          <w:szCs w:val="28"/>
          <w:lang w:val="ru-RU"/>
        </w:rPr>
      </w:pPr>
      <w:r>
        <w:rPr>
          <w:color w:val="FFFFFF"/>
          <w:sz w:val="28"/>
          <w:szCs w:val="28"/>
          <w:lang w:val="ru-RU"/>
        </w:rPr>
        <w:t>диазосоединение органическая молекула азот</w:t>
      </w:r>
    </w:p>
    <w:p w14:paraId="1A58DFEC" w14:textId="6F82B6D5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5492E7A" wp14:editId="3FC7CFFB">
            <wp:extent cx="4114800" cy="2613660"/>
            <wp:effectExtent l="0" t="0" r="0" b="0"/>
            <wp:docPr id="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3279D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4E63ABCB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 участием свободных радикалов протекает восстановление катионов диазония спиртами. В зависимости от кислотности среды в результате выделения молекулы азота образуются с разными выходами два продукта: арен и алкиловый эфир фенола.</w:t>
      </w:r>
    </w:p>
    <w:p w14:paraId="60C26AF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1D8DF52C" w14:textId="43B39377" w:rsidR="00000000" w:rsidRDefault="00FF4395">
      <w:pPr>
        <w:ind w:firstLine="709"/>
        <w:rPr>
          <w:color w:val="000000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388FC5A" wp14:editId="500AA6F3">
            <wp:extent cx="4267200" cy="1432560"/>
            <wp:effectExtent l="0" t="0" r="0" b="0"/>
            <wp:docPr id="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36D5A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208703C4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 разложении солей диазония в слабо щелочном водном растворе в присутствии аренов присходит арилирование этих углеводородов. Реакция получила название арилирование аренов по Гомбергу-Бахману. Считается, что она протекает по радикальному механизму.</w:t>
      </w:r>
    </w:p>
    <w:p w14:paraId="76A84985" w14:textId="77777777" w:rsidR="00000000" w:rsidRDefault="00000000">
      <w:pPr>
        <w:ind w:firstLine="709"/>
        <w:rPr>
          <w:color w:val="000000"/>
          <w:sz w:val="28"/>
          <w:szCs w:val="28"/>
          <w:lang w:val="ru-RU"/>
        </w:rPr>
      </w:pPr>
    </w:p>
    <w:p w14:paraId="311972EC" w14:textId="2679F4F1" w:rsidR="00000000" w:rsidRDefault="00FF4395">
      <w:pPr>
        <w:ind w:firstLine="709"/>
        <w:rPr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45D041" wp14:editId="4A9A8F58">
            <wp:extent cx="4892040" cy="868680"/>
            <wp:effectExtent l="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8819" w14:textId="77777777" w:rsidR="00000000" w:rsidRDefault="00000000">
      <w:pPr>
        <w:pStyle w:val="1"/>
        <w:spacing w:line="360" w:lineRule="auto"/>
        <w:jc w:val="center"/>
        <w:rPr>
          <w:b/>
          <w:bCs/>
          <w:i/>
          <w:iCs/>
          <w:smallCaps/>
          <w:noProof/>
          <w:sz w:val="28"/>
          <w:szCs w:val="28"/>
          <w:lang w:val="en-US"/>
        </w:rPr>
      </w:pPr>
      <w:r>
        <w:rPr>
          <w:b/>
          <w:bCs/>
          <w:i/>
          <w:iCs/>
          <w:smallCaps/>
          <w:noProof/>
          <w:sz w:val="28"/>
          <w:szCs w:val="28"/>
          <w:lang w:val="en-US"/>
        </w:rPr>
        <w:br w:type="page"/>
      </w:r>
      <w:r>
        <w:rPr>
          <w:b/>
          <w:bCs/>
          <w:i/>
          <w:iCs/>
          <w:smallCaps/>
          <w:noProof/>
          <w:sz w:val="28"/>
          <w:szCs w:val="28"/>
          <w:lang w:val="en-US"/>
        </w:rPr>
        <w:lastRenderedPageBreak/>
        <w:t>Литература</w:t>
      </w:r>
    </w:p>
    <w:p w14:paraId="0424020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46F4D77" w14:textId="77777777" w:rsidR="00000000" w:rsidRDefault="00000000">
      <w:pPr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 Глинка Н.Л. Общая химия: Учебное пособие для вузов. - 22-е изд., испр. / Под ред. Рабиновича В.А. - Л. о. "Химия", 1982.</w:t>
      </w:r>
    </w:p>
    <w:p w14:paraId="6CFBB687" w14:textId="77777777" w:rsidR="00000000" w:rsidRDefault="00000000">
      <w:pPr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Кукрашева К.К. Химия в таблицах и схемах. - М.: "Лист Нью". 2005.</w:t>
      </w:r>
    </w:p>
    <w:p w14:paraId="0F965341" w14:textId="77777777" w:rsidR="00000000" w:rsidRDefault="00000000">
      <w:pPr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Химия и физика в косметологии. Косметическое сырье, аппаратная косметология: Учебное пособие, том 5/Под ред. к. м. н.А.П. Безуглого. - Издательство Cosmetic Forum, 1998.</w:t>
      </w:r>
    </w:p>
    <w:p w14:paraId="1504A1FC" w14:textId="77777777" w:rsidR="00000000" w:rsidRDefault="00000000">
      <w:pPr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Хомченко И.Г. Общая химия. Учебник. - 2-е изд., испр. и доп. - М.: ООО "Издательство Новая Волна": Издатель Умеренников, 2005.</w:t>
      </w:r>
    </w:p>
    <w:p w14:paraId="6DC6EAF4" w14:textId="77777777" w:rsidR="00F93FA2" w:rsidRDefault="00000000">
      <w:pPr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. Химия: Школьная энциклопедия / Гл. ред. Ю.А. Золотов. - М.: Большая Российская энциклопедия, 2003.</w:t>
      </w:r>
    </w:p>
    <w:sectPr w:rsidR="00F93FA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95"/>
    <w:rsid w:val="00A2547C"/>
    <w:rsid w:val="00F93FA2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DA1982"/>
  <w14:defaultImageDpi w14:val="0"/>
  <w15:docId w15:val="{706611FB-C825-48C8-9E19-B8FB122A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  <w:lang w:val="sr-Cyrl-BA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theme" Target="theme/theme1.xml"/><Relationship Id="rId20" Type="http://schemas.openxmlformats.org/officeDocument/2006/relationships/image" Target="media/image17.wmf"/><Relationship Id="rId41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3007</Words>
  <Characters>17142</Characters>
  <Application>Microsoft Office Word</Application>
  <DocSecurity>0</DocSecurity>
  <Lines>142</Lines>
  <Paragraphs>40</Paragraphs>
  <ScaleCrop>false</ScaleCrop>
  <Company/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2025-12-16T11:11:00Z</dcterms:created>
  <dcterms:modified xsi:type="dcterms:W3CDTF">2025-12-16T11:11:00Z</dcterms:modified>
</cp:coreProperties>
</file>