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5D2C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t>МИНИСТЕРСТВО ОБРАЗОВАНИЯ И НАУКИ РОССИЙСКОЙ ФЕДЕРАЦИИ</w:t>
      </w:r>
    </w:p>
    <w:p w14:paraId="42849E4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t>ФЕДЕРАЛЬНОЕ БЮДЖЕТНОЕ ОБРАЗОВАТЕЛЬНОЕ УЧРЕЖДЕНИЕ ВЫСШЕГО ПРОФЕССИОНАЛЬНОГО ОБРАЗОВАНИЯ</w:t>
      </w:r>
    </w:p>
    <w:p w14:paraId="74B8A5D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t>«ВОРОНЕЖСКИЙ ГОСУДАРСТВЕННЫЙ ПЕДАГОГИЧЕСКИЙ УНИВЕРСИТЕТ»</w:t>
      </w:r>
    </w:p>
    <w:p w14:paraId="6ABE1A3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t>Кафедра химии</w:t>
      </w:r>
    </w:p>
    <w:p w14:paraId="1A00A15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253AA65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560CAE6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3F8C5C5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06C07B0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213BD50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0F68CE4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42BD637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t>Курсовая работа по физической химии</w:t>
      </w:r>
    </w:p>
    <w:p w14:paraId="769E7E0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t>ИЗУЧЕНИЕ КИНЕТИКИ СОРБЦИИ ЛЕТУЧИХ ЖИРНЫХ КИСЛОТ МЕТОДОМ ПЬЕЗОКВАРЦЕВОГО МИКРОВЗВЕШИВАНИЯ</w:t>
      </w:r>
    </w:p>
    <w:p w14:paraId="39551D7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t>по специальности 050101.65 «Химия»</w:t>
      </w:r>
    </w:p>
    <w:p w14:paraId="115953E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2AF4725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7ED2B6D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74BD240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1"/>
          <w:sz w:val="28"/>
          <w:szCs w:val="28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t>Выполнила: студентка 4 курса</w:t>
      </w:r>
    </w:p>
    <w:p w14:paraId="171C1D2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1"/>
          <w:sz w:val="28"/>
          <w:szCs w:val="28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t>естественно-географического факультета</w:t>
      </w:r>
    </w:p>
    <w:p w14:paraId="2C97175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1"/>
          <w:sz w:val="28"/>
          <w:szCs w:val="28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t>отделения «Химия - География»</w:t>
      </w:r>
    </w:p>
    <w:p w14:paraId="3B674AF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1"/>
          <w:sz w:val="28"/>
          <w:szCs w:val="28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t>Ишкова Лидия</w:t>
      </w:r>
    </w:p>
    <w:p w14:paraId="04B3777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73FBD21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1EB8D5B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33EAA67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</w:p>
    <w:p w14:paraId="4C0101C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1"/>
          <w:sz w:val="28"/>
          <w:szCs w:val="28"/>
        </w:rPr>
      </w:pPr>
      <w:r>
        <w:rPr>
          <w:rFonts w:ascii="Times New Roman CYR" w:hAnsi="Times New Roman CYR" w:cs="Times New Roman CYR"/>
          <w:kern w:val="1"/>
          <w:sz w:val="28"/>
          <w:szCs w:val="28"/>
        </w:rPr>
        <w:lastRenderedPageBreak/>
        <w:t>Воронеж - 2014 г.</w:t>
      </w:r>
    </w:p>
    <w:p w14:paraId="5DAE85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Содержание</w:t>
      </w:r>
    </w:p>
    <w:p w14:paraId="0B3399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85F9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0FCA28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Литературный обзор</w:t>
      </w:r>
    </w:p>
    <w:p w14:paraId="5985ED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Анаэробные инфекции человека</w:t>
      </w:r>
    </w:p>
    <w:p w14:paraId="01FFA8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Метод пьезокварцевого микровзвешивания</w:t>
      </w:r>
    </w:p>
    <w:p w14:paraId="47F90C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Методика эксперимента</w:t>
      </w:r>
    </w:p>
    <w:p w14:paraId="384FAA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Анализ результатов</w:t>
      </w:r>
    </w:p>
    <w:p w14:paraId="6339FF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Выводы</w:t>
      </w:r>
    </w:p>
    <w:p w14:paraId="43088C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Литература</w:t>
      </w:r>
    </w:p>
    <w:p w14:paraId="3A125C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6E9C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Введение</w:t>
      </w:r>
    </w:p>
    <w:p w14:paraId="476E1B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2675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Исследование кинетики сорбции летучих жирных кислот (ЛЖК) нормального и изомерного строения, являющихся метаболитами анаэробной инфекции человека и животных, с помощью пьезокварцевого микровзвешивания актуально для разработки альтернативного экспресс-способа ее диагностики, осуществляемой в настоящее время длительными и дорогостоящими микробиологическими и хроматографическими методами.</w:t>
      </w:r>
    </w:p>
    <w:p w14:paraId="6C7E7D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связи с этим целью работы было создание пьезосенсоров наиболее селективных в отношении ЛЖК с числом атомов водорода от 2 до 6 и установление особенностей сорбции нормальных и изокислот.</w:t>
      </w:r>
    </w:p>
    <w:p w14:paraId="4BA205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достижения поставленной цели решались основные задачи:</w:t>
      </w:r>
    </w:p>
    <w:p w14:paraId="21C728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Изготовить пьезосенсоры, путем нанесения пленок модификаторов, различных по полярности, строению и назначению (универсальные, специфические, полярные).</w:t>
      </w:r>
    </w:p>
    <w:p w14:paraId="705778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Определить чувствительность приготовленных пленок по отношению к ЛЖК и установить наиболее подходящие для эксперимента сорбенты.</w:t>
      </w:r>
    </w:p>
    <w:p w14:paraId="66B0C6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Исследовать кинетику сорбции ЛЖК на наиболее чувствительном пьезосенсоре.</w:t>
      </w:r>
    </w:p>
    <w:p w14:paraId="26AB955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x-none"/>
        </w:rPr>
        <w:t xml:space="preserve">Апробация работы: результаты работы докладывались на научной студенческой конференции </w:t>
      </w:r>
      <w:r>
        <w:rPr>
          <w:rFonts w:ascii="Times New Roman CYR" w:hAnsi="Times New Roman CYR" w:cs="Times New Roman CYR"/>
          <w:kern w:val="0"/>
          <w:sz w:val="28"/>
          <w:szCs w:val="28"/>
        </w:rPr>
        <w:t>ВГПУ по химии</w:t>
      </w:r>
      <w:r>
        <w:rPr>
          <w:rFonts w:ascii="Times New Roman CYR" w:hAnsi="Times New Roman CYR" w:cs="Times New Roman CYR"/>
          <w:kern w:val="0"/>
          <w:sz w:val="28"/>
          <w:szCs w:val="28"/>
          <w:lang w:val="x-none"/>
        </w:rPr>
        <w:t>. Тезисы доклада (занявшего II место) приняты к печати в сборнике трудов конференции.</w:t>
      </w:r>
    </w:p>
    <w:p w14:paraId="1F8D7E5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3528A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1. Литературный обзор</w:t>
      </w:r>
    </w:p>
    <w:p w14:paraId="1C66307E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5F1BB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Анаэробные инфекции человека</w:t>
      </w:r>
    </w:p>
    <w:p w14:paraId="36B79320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B940353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Анаэробные микроорганизмы составляют абсолютное большинство нормальной микрофлоры человеческого тела. Кожа заселена анаэробами в десятки раз больше, чем аэробами. Главное место обитания анаэробов - пищеварительный тракт, где нет стерильных отделов. Флора во рту на 99% состоит из анаэробов, что близко к толстой кишке. Толстая же кишка - основное место обитания анаэробов вследствие отсутствия кислорода и очень низкого окислительно-восстановительного потенциала (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250 мВ). Содержание их в кишечнике составляет 20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40% от всех микроорганизмов. Из них 97% - строгие анаэробы. Доля кишечной палочки составляет, вопреки общераспространенному мнению, всего 0,1 - 0,45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[26].</w:t>
      </w:r>
    </w:p>
    <w:p w14:paraId="385052AE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жизни неспоровых анаэробов необходимы определенные условия. Во-первых, отрицательный окислительно-восстановительный потенциал среды, обусловленный суммой всех окислительно-восстановительных процессов, имеющих место в данной ткани. Он существенно понижается в присутствии крови. Например, наличие крови в брюшной полости, является очень опасным фактором. Во-вторых, отсутствие кислорода. В-третьих, определенные способствующие росту бактерий явления: снижение иммунитета при сахарном диабете, онкологических заболеваниях, после тяжелых оперативных вмешательств. Кроме того, аэробы покровительствуют анаэробам, способствуя созданию бескислородной среды [26, 27].</w:t>
      </w:r>
    </w:p>
    <w:p w14:paraId="7C80BAA5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Анаэробные инфекции развиваются при разрушении гармоничных взаимоотношений между макро- и микроорганизмом. Любой орган чувствителен к этим, постоянно вегетирующим в организме микроорганизмам при повреждении слизистых барьеров или кожи при операциях, после травм,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при опухолях или таких состояниях, как ишемия или некроз, способствующих снижению местного окислительно-восстановительного потенциала тканей. В связи с тем, что в участках вегетации бактерий разрастаются разнообразные их виды, повреждение анатомических барьеров создает возможности для внедрения в ткани многих микроорганизмов, что нередко приводит к развитию смешанных инфекций разными видами анаэробов, факультативных или микроаэрофильных бактерий. Подобные инфекции встречаются в области головы и шеи (хронические синусит и средний отит, ангина Людвига, периодонтальный абсцесс). К наиболее частым анаэробным инфекциям центральной нервной системы относятся абсцесс мозга и субдуральная эмпиема. Анаэробы вызывают плевролегочные заболевания, играют важную роль в развитии внутрибрюшных процессов, таких как перитонит и абсцессы, печеночные абсцессы. Их часто обнаруживают при инфекционных заболеваниях женских половых органов. Анаэробные бактерии определяют при инфекциях кожи, мягких тканей, костей, бактериями [27].</w:t>
      </w:r>
    </w:p>
    <w:p w14:paraId="7185392F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Установлено, что анаэробные микроорганизмы в процессе метаболизма продуцируют в среду роста или в патологически измененные ткани летучие ЛЖК - уксусную, пропионовую, масляную, изомасляную и другие, в то же время аэробы этих соединений не образуют. Эти кислоты называются метаболическими маркерами жизнедеятельности анаэробных бактерий [26].</w:t>
      </w:r>
    </w:p>
    <w:p w14:paraId="1EEFB9FC" w14:textId="77777777" w:rsidR="00000000" w:rsidRDefault="000000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Учитывая особую опасность анаэробной инфекции для жизни человека, в настоящее время рекомендуется использовать для диагностики все доступные способы, несмотря на малую точность одних - цитологии раневых отпечатков; громоздкость и длительность других - микроскопический; неотработанность методик третьих - газожидкостной хроматографии [22,23].</w:t>
      </w:r>
    </w:p>
    <w:p w14:paraId="6DBEC067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связи с этим, актуальным является поиск новых методов диагностики анаэробных инфекций, таковым может стать метод пьезокварцевого микровзвешивания.</w:t>
      </w:r>
    </w:p>
    <w:p w14:paraId="49E810A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1.2 Метод пьезокварцевого микровзвешивания</w:t>
      </w:r>
    </w:p>
    <w:p w14:paraId="66D48DFE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583E9D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Одним из современных экспресс-методов анализа газовой фазы является метод пьезокварцевого микровзвешивания. Кварцевые кристаллические микровесы - это устройство, используемое для измерения незначительного приращения массы с помощью пьезоэлектрического кристалла.</w:t>
      </w:r>
    </w:p>
    <w:p w14:paraId="6B66D1BE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Изучены пьезосвойства лишь нескольких десятков монокристаллов и поликристаллических веществ. Однако наиболее предпочтительным материалом является кварц, отличающийся многочисленными достоинствами: большой механической и термической прочностью, малым внутренним трением, высокой стабильностью электрофизических параметров[1-4].</w:t>
      </w:r>
    </w:p>
    <w:p w14:paraId="62895584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Колебательная система, состоящая из четырех основных элементов: вибратора - пластины кварца диаметром 5 - 16 мм, на обе грани которой в центре напылены электроды возбуждения (материал - золото, серебро, никель, алюминий), элементов крепления кварцевой пластины и окружающей среды называется пьезокварцевым резонатором (ПКР) (рис. 1).</w:t>
      </w:r>
    </w:p>
    <w:p w14:paraId="49A28D95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1E64CB" w14:textId="21556741" w:rsidR="00000000" w:rsidRDefault="00657FA1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BD5D374" wp14:editId="1F372364">
            <wp:extent cx="1950720" cy="2156460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DAD84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Рис. 1. Пьезокварцевый резонатор.</w:t>
      </w:r>
    </w:p>
    <w:p w14:paraId="68C67ED6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FCC870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Отличительная черта селективных масс-чувствительных резонаторов (сенсоров) - наличие сорбционного покрытия, характеризующегося ярко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выраженной избирательностью в отношении сорбции - десорбции различных компонентов окружающей среды.</w:t>
      </w:r>
    </w:p>
    <w:p w14:paraId="79A22B5A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Аналитическим сигналом пьезокварцевого сенсора, служит изменение частоты колебаний пьезокварцевого резонатора (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F) при увеличении или уменьшении массы покрытия за счет образования или разрушения на его поверхности определенного соединения[3,18].</w:t>
      </w:r>
    </w:p>
    <w:p w14:paraId="5D662483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Теоретической основой метода пьезокварцевого микровзвешивания послужила физическая модель G.G. Sauerbrey (Зауэрбрея), устанавливающая связь между 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F и массой вещества на электродах резонатора:</w:t>
      </w:r>
    </w:p>
    <w:p w14:paraId="3293A981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DA93A0" w14:textId="77777777" w:rsidR="00000000" w:rsidRDefault="00000000">
      <w:pPr>
        <w:widowControl w:val="0"/>
        <w:tabs>
          <w:tab w:val="left" w:pos="709"/>
          <w:tab w:val="left" w:pos="79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F = - 2,3·10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-6</w:t>
      </w:r>
      <w:r>
        <w:rPr>
          <w:rFonts w:ascii="Times New Roman CYR" w:hAnsi="Times New Roman CYR" w:cs="Times New Roman CYR"/>
          <w:kern w:val="0"/>
          <w:sz w:val="28"/>
          <w:szCs w:val="28"/>
        </w:rPr>
        <w:t>·(F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·М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>)/A,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 (1)</w:t>
      </w:r>
    </w:p>
    <w:p w14:paraId="0D5E5232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83FF4F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F - изменение частоты колебания резонатора, вызванное нанесением плёночного покрытия, Гц; 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собственная резонансная частота колебания кварца, МГц;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масса плёночного покрытия, г; A - площадь плёнки, 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; 2,3·10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-6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градуировочная константа пьезоэлектрических микровесов, 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/(Гц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г)[1].</w:t>
      </w:r>
    </w:p>
    <w:p w14:paraId="40E66DEA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Уравнение (1) получено для идеализированной модели колебаний нагруженного пленочным покрытием резонатора и имеет ограничения при описании связи отклика сенсора и массы вещества на его электродах. Для получения адекватных теории Sauerbrey результатов необходимо учитывать вклад в изменение массы покрытия процессов старения, испарения и растекания пленки.</w:t>
      </w:r>
    </w:p>
    <w:p w14:paraId="6313795B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Кварцевые микровесы - измерительные автогенераторные устройства, предназначенные для преобразования изменений массы, присоединенной к поверхности кварцевого пьезорезонатора, в приращение выходной частоты автогенератора [2-4].</w:t>
      </w:r>
    </w:p>
    <w:p w14:paraId="7D237F9B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настоящее время для исследования газовых фаз используются системы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пьезосенсоров, с компьютерным обеспечением, получившие название «электронный нос» [18].</w:t>
      </w:r>
    </w:p>
    <w:p w14:paraId="55E35E8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 достоинствам метода пьезокварцевого микровзвешивания относятся: 1) высокая чувствительность кварцевых микровесов; 2) малые габариты применяемого оборудования и его мобильность; 3) быстрота выполнения анализа; 4) невысокая стоимость оборудования; 5) возможность проведения работы неспециалистом. Подобные преимущества послужили причиной тому, что системы типа «электронный нос» способные определять качественный и количественный состав газовых и жидких фаз, начинают использоваться в различных областях деятельности человека (в пищевой промышленности, при экологическом мониторинге, в медицине и т.д.) [21].</w:t>
      </w:r>
    </w:p>
    <w:p w14:paraId="0EAF7A8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FC5A1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Методика эксперимента</w:t>
      </w:r>
    </w:p>
    <w:p w14:paraId="781833E3" w14:textId="77777777" w:rsidR="00000000" w:rsidRDefault="00000000">
      <w:pPr>
        <w:widowControl w:val="0"/>
        <w:tabs>
          <w:tab w:val="left" w:pos="26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8B7317" w14:textId="77777777" w:rsidR="00000000" w:rsidRDefault="00000000">
      <w:pPr>
        <w:widowControl w:val="0"/>
        <w:tabs>
          <w:tab w:val="left" w:pos="26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тестируемых веществ (тест-веществ) были выбраны газы-маркеры анаэробной инфекции человека - ЛЖК[13]. Общая характеристика анализируемых веществ, представлена в таблице 2.</w:t>
      </w:r>
    </w:p>
    <w:p w14:paraId="27CB1B4A" w14:textId="77777777" w:rsidR="00000000" w:rsidRDefault="00000000">
      <w:pPr>
        <w:widowControl w:val="0"/>
        <w:tabs>
          <w:tab w:val="left" w:pos="26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E2A8DF" w14:textId="77777777" w:rsidR="00000000" w:rsidRDefault="00000000">
      <w:pPr>
        <w:widowControl w:val="0"/>
        <w:tabs>
          <w:tab w:val="left" w:pos="26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2 Характеристики газов-маркеров анаэробной инфекции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3"/>
        <w:gridCol w:w="2175"/>
        <w:gridCol w:w="2197"/>
        <w:gridCol w:w="819"/>
        <w:gridCol w:w="977"/>
        <w:gridCol w:w="901"/>
      </w:tblGrid>
      <w:tr w:rsidR="00000000" w14:paraId="4E86F9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35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Название ЛЖК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81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Химическая формула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F4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Агрегатное состояние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AC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с,г/см3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98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Ткип, °C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222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Тпл, °C</w:t>
            </w:r>
          </w:p>
        </w:tc>
      </w:tr>
      <w:tr w:rsidR="00000000" w14:paraId="7B7771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A7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Уксусная кислота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2D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CH3-COOH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B7D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бесцветная жидкость (бц.ж)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92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3F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118,1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7CC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17</w:t>
            </w:r>
          </w:p>
        </w:tc>
      </w:tr>
      <w:tr w:rsidR="00000000" w14:paraId="037994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87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Масляная кислота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09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CH3-CH2-CH2-COOH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B9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бц.ж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1B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0,96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1A7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163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F8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-5</w:t>
            </w:r>
          </w:p>
        </w:tc>
      </w:tr>
      <w:tr w:rsidR="00000000" w14:paraId="050940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E99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Изомасляная кислота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A38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(CH3)2-CH-COOH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3D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бц.ж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111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0,94-0,95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746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154,4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91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-47</w:t>
            </w:r>
          </w:p>
        </w:tc>
      </w:tr>
      <w:tr w:rsidR="00000000" w14:paraId="274D79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C33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Валериановая кислота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88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CH3-CH2-CH2-CH2-COOH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09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бц.ж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32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0,94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58D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184-187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58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-32</w:t>
            </w:r>
          </w:p>
        </w:tc>
      </w:tr>
      <w:tr w:rsidR="00000000" w14:paraId="18460B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20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Изовалериановая кислота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D6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(CH3)2-CH-CH2-COOH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BC9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бц.ж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D4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0,87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06D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134.7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88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-29</w:t>
            </w:r>
          </w:p>
        </w:tc>
      </w:tr>
      <w:tr w:rsidR="00000000" w14:paraId="23337E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24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Метилвалериановая кислота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E8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СН3-СН2-СН(СН3)-СН2-COOH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C5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Бесцветная жидкость (бц.ж)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C26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12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A4E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</w:tr>
      <w:tr w:rsidR="00000000" w14:paraId="18E049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F0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Пропионовая кислота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A0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CH3-CH2-COOH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66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бц.ж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B5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90B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141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F00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-21</w:t>
            </w:r>
          </w:p>
        </w:tc>
      </w:tr>
      <w:tr w:rsidR="00000000" w14:paraId="267C26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A1E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Гексановая кислота 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ACE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CH3-(CH)4-COOH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A2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бц.ж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5D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0,92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D3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202-203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3F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-3,4</w:t>
            </w:r>
          </w:p>
        </w:tc>
      </w:tr>
    </w:tbl>
    <w:p w14:paraId="03D26B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858D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измерений готовили серию сенсоров на основе серийно выпускаемых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пьезокварцевых резонаторов АТ-среза с диаметром кварцевой пластины 8,0 мм, диаметром электродов 4,5 мм, с базовой частотой колебаний 10,0 ± 0,5 МГц (ОАО «Пьезо», Москва) путем нанесения пленок модификаторов, различных по полярности, строению и назначению (универсальные, специфические, полярные). В таблице 2 приведены данные по приготовленным и нанесенным пленкам, чувствительным к ЛЖК [15].</w:t>
      </w:r>
    </w:p>
    <w:p w14:paraId="3088768A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Тонкие пленки на электродах ПКР формировали способом «статического испарения капли» из ацетоновых или толуольных растворов выбранных сорбентов и ультразвукового суспензирования (УЗС) хлороформного раствора углеродных нанотрубок (УНТ) [12]. Полноту удаления растворителя контролировали по постоянству частоты колебания ПКР с пленкой. Массу пленочного покрытия рассчитывали по изменению частоты колебаний пьезосенсора и уравнению Зауэрбрея. Оптимальная масса пленок для всех сорбентов кроме УНТ составила 10 - 15 мкг. Масса покрытия из УНТ не превышала 5 мкг [9,10].</w:t>
      </w:r>
    </w:p>
    <w:p w14:paraId="7E385F00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Пробы отбирались шприцом на 2 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из равновесной газовой фазы ЛЖК. Содержимое шприца вводили в ячейку детектирования «САГО» в момент, когда сигнал сенсора стабилизировался и его колебания не превышали 4 Гц. Проба вводилась без нагнетания, но достаточно быстро. Измерения прекращали, когда сигнал сенсора снова стабилизировался до колебаний, не превышающих 4 Гц.</w:t>
      </w:r>
    </w:p>
    <w:p w14:paraId="53A17F28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Исследование сорбции тест-веществ проводили в односенсорной ячейке детектирования (одноканальном газоанализаторе «САГО» объемом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яч</w:t>
      </w:r>
      <w:r>
        <w:rPr>
          <w:rFonts w:ascii="Times New Roman CYR" w:hAnsi="Times New Roman CYR" w:cs="Times New Roman CYR"/>
          <w:kern w:val="0"/>
          <w:sz w:val="28"/>
          <w:szCs w:val="28"/>
        </w:rPr>
        <w:t>) 20см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(рис. 2).</w:t>
      </w:r>
    </w:p>
    <w:p w14:paraId="7597FA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подготовке сенсоров минимальное количество вводов тест-веществ для тренировки сорбционной пленки составило в среднем 8-12. При этом перед каждым новым использованием сенсора его просушивали. После полной подготовки пленок на каждой из них было осуществлено одинаковое количество вводов тест-веществ. При этом многие сорбенты аналогично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реагировали как на нормальные (линейные) ЛЖК, так и на кислоты с разветвленным углеродным скелетом. Отличительные характеристики в сигнале были только у одного сорбента - Tween-40. Tween-40 (Е434) - это смесь сложных эфиров пальмитиновой кислоты с сорбитом и его моно- и диангидридами, конденсированная с примерно 20 молями этиленоксида на моль сорбита и его ангидридов, которая представляет собой маслянистую жидкость или полугель от жёлтого до оранжевого цвета с тонким характерным запахом и горьковатым вкусом и служит эмульгатором, стабилизатором, пенообразователем или антивспенивателем (в зависимости от среды) и диспергирующим агентом [29].</w:t>
      </w:r>
    </w:p>
    <w:p w14:paraId="62767E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DEEA8E" w14:textId="7519A414" w:rsidR="00000000" w:rsidRDefault="00657FA1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51DEFDF" wp14:editId="71CA3329">
            <wp:extent cx="3962400" cy="2385060"/>
            <wp:effectExtent l="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93A6D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Рис. 2. Одноканальный пьезокварцевый газоанализатор «САГО».</w:t>
      </w:r>
    </w:p>
    <w:p w14:paraId="08A356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4292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Покрытие ПКР из Tween-40 со временем адаптировалось к исследуемым веществам, результаты повторялись с точностью до 0,5 гГц. Ошибка в точности связана с техникой проведения эксперимента, влияние могло оказать: быстрое введение газовой фазы в аналитическую ячейку (силовое воздействие на сенсор потоком воздуха), временное нарушение герметичности камеры после продувки, незаконченная очистка сенсора и т.д. [2]. Погрешность незначительна, поскольку измерения проводились с целью выявления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различной сорбционной активности, количественный результат не оценивался.</w:t>
      </w:r>
    </w:p>
    <w:p w14:paraId="7E0016C2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6475FC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Таблица 2 Характеристики сорбентов-модификаторов ПКР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1452"/>
        <w:gridCol w:w="2637"/>
        <w:gridCol w:w="1438"/>
        <w:gridCol w:w="1556"/>
      </w:tblGrid>
      <w:tr w:rsidR="00000000" w14:paraId="33D1A2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97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Название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94C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Аббревиатура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52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Формула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19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Растворитель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74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Определяемые соединения</w:t>
            </w:r>
          </w:p>
        </w:tc>
      </w:tr>
      <w:tr w:rsidR="00000000" w14:paraId="11F93D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9C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Дициклогексан-18-Краун-6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61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ДЦГ-18-К-6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10714" w14:textId="1866E326" w:rsidR="00000000" w:rsidRDefault="00657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887F29D" wp14:editId="59BF3BD3">
                  <wp:extent cx="1341120" cy="739140"/>
                  <wp:effectExtent l="0" t="0" r="0" b="0"/>
                  <wp:docPr id="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39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Толуол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5B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Органические кислоты</w:t>
            </w:r>
          </w:p>
        </w:tc>
      </w:tr>
      <w:tr w:rsidR="00000000" w14:paraId="5E045B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23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Полиэтиленгликольсукцинат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28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ПЭГСк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2E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[-O(CH2)2OOC(CH2)4CO-]n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26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Ацетон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1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Органические кислоты</w:t>
            </w:r>
          </w:p>
        </w:tc>
      </w:tr>
      <w:tr w:rsidR="00000000" w14:paraId="59F485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CF8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Метиловый оранжевый, углеродные нанотрубки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10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МО и УНТ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6D4" w14:textId="753B484C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Сn,</w:t>
            </w:r>
            <w:r w:rsidR="00657FA1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2733824" wp14:editId="2090FCB4">
                  <wp:extent cx="1379220" cy="495300"/>
                  <wp:effectExtent l="0" t="0" r="0" b="0"/>
                  <wp:docPr id="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1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Хлороформ, спирт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61A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Универсальный сорбент, аммиак, Органические кислоты</w:t>
            </w:r>
          </w:p>
        </w:tc>
      </w:tr>
      <w:tr w:rsidR="00000000" w14:paraId="119E7F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1E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Полистирол и хлорид олова (VI)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FF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ПС и SnCl4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CCEC" w14:textId="00F1492F" w:rsidR="00000000" w:rsidRDefault="00657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93DA561" wp14:editId="7520A89B">
                  <wp:extent cx="944880" cy="112776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SnCl4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50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Толуол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85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Неполярные соединения, углеводороды</w:t>
            </w:r>
          </w:p>
        </w:tc>
      </w:tr>
      <w:tr w:rsidR="00000000" w14:paraId="3CE89FF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C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Полиоксиэтилен-(20)-сорбитан-монопальмитат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55E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Tween-40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D2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C2nH4n+2On+1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99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Толуол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A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Органические кислоты, аммиак</w:t>
            </w:r>
          </w:p>
        </w:tc>
      </w:tr>
      <w:tr w:rsidR="00000000" w14:paraId="72CA6A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60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Бромтимоловый синий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A47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БТС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12563" w14:textId="7BD5B50B" w:rsidR="00000000" w:rsidRDefault="00657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CFE4E15" wp14:editId="06B8D526">
                  <wp:extent cx="1447800" cy="1089660"/>
                  <wp:effectExtent l="0" t="0" r="0" b="0"/>
                  <wp:docPr id="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415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Ацетон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83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Органические кислоты</w:t>
            </w:r>
          </w:p>
        </w:tc>
      </w:tr>
      <w:tr w:rsidR="00000000" w14:paraId="5095CD7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42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Динонилфталат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66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ДНФ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06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С6Н4(СООС9Н19)2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9D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Ацетон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C1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Органические кислоты</w:t>
            </w:r>
          </w:p>
        </w:tc>
      </w:tr>
      <w:tr w:rsidR="00000000" w14:paraId="64229C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85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Полиэтиленгликоль-2000/2-нитротерефталевая кислота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A5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ПЭГ-2000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2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HO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−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CH2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−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(CH2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−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O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−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CH2)n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−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CH2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−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OH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B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Ацетон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FD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Органические кислоты</w:t>
            </w:r>
          </w:p>
        </w:tc>
      </w:tr>
    </w:tbl>
    <w:p w14:paraId="1EE942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AF9F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Анализ результатов</w:t>
      </w:r>
    </w:p>
    <w:p w14:paraId="6D8C4A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185D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рис. 3 - 10 представлены хроночастотограммы исследуемых ЛЖК на пьезосенсоре с покрытием Tween-40.</w:t>
      </w:r>
    </w:p>
    <w:p w14:paraId="53C235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Резкое уменьшение частоты колебания сенсора (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обусловлено сорбцией определяемого вещества, последующая стабилизация во времени 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свидетельствует о прочном его удерживании сорбентом.</w:t>
      </w:r>
    </w:p>
    <w:p w14:paraId="5C8DB6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9C104C" w14:textId="6E068186" w:rsidR="00000000" w:rsidRDefault="00657FA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3065F4A" wp14:editId="14A08B23">
            <wp:extent cx="5265420" cy="2392680"/>
            <wp:effectExtent l="0" t="0" r="0" b="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9FC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Рис. 3. Хроночастотограмма пьезосенсора с сорбентом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t>Tween-40 в парах уксусной кислоты.</w:t>
      </w:r>
    </w:p>
    <w:p w14:paraId="46D783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CA9954" w14:textId="544FCCA7" w:rsidR="00000000" w:rsidRDefault="00657FA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6823D53" wp14:editId="403BE1BC">
            <wp:extent cx="5189220" cy="2560320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91A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Рис. 4. Хроночастотограмма пьезосенсора с сорбентом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t>Tween-40 в парах пропионовой кислоты.</w:t>
      </w:r>
    </w:p>
    <w:p w14:paraId="0A18A2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0D1A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Пропионовая кислота оседает на пленке сильнее остальных (сильно изменяется частота колебаний), что может позволить отличить ее в смеси с другими кислотами.</w:t>
      </w:r>
    </w:p>
    <w:p w14:paraId="07B6A6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050E50C5" w14:textId="00E9A05D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br w:type="page"/>
      </w:r>
      <w:r w:rsidR="00657FA1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D776FC5" wp14:editId="19AC4541">
            <wp:extent cx="5288280" cy="2392680"/>
            <wp:effectExtent l="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D40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Рис. 5. Хроночастотограмма пьезосенсора с сорбентом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t>Tween-40 в парах масляной кислоты.</w:t>
      </w:r>
    </w:p>
    <w:p w14:paraId="75E32B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0047DE" w14:textId="232A1EE4" w:rsidR="00000000" w:rsidRDefault="00657FA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A07C883" wp14:editId="75BE5E07">
            <wp:extent cx="4320540" cy="1950720"/>
            <wp:effectExtent l="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1D9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Рис. 6. Хроночастотограмма пьезосенсора с сорбентом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t>Tween-40 в парах изомасляной кислоты.</w:t>
      </w:r>
    </w:p>
    <w:p w14:paraId="1DA14C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131F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 рисунков видно, что форма хроночастотограмм нормальных и изокислот отличается. Для первых вне зависимости от числа атомов в углеродной цепочке характерна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-образная кривая.</w:t>
      </w:r>
    </w:p>
    <w:p w14:paraId="08B648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Отличительная особенность изокислот состоит в том, что после осаждения на сорбенте, не все вещество удерживается им, причем чем тяжелее кислота, тем меньше ее остается на сенсоре. Частичный «сброс» адсорбированных изокислот определяет характерный «пикообразный» вид хроночастотограмм.</w:t>
      </w:r>
    </w:p>
    <w:p w14:paraId="54163BFF" w14:textId="6D3AB4D9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657FA1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A40B74" wp14:editId="58D48D39">
            <wp:extent cx="5074920" cy="2362200"/>
            <wp:effectExtent l="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88D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 7. </w:t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Хроночастотограмма пьезосенсора с сорбентом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t>Tween-40 в парах валериановой кислоты.</w:t>
      </w:r>
    </w:p>
    <w:p w14:paraId="071D45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F967BC" w14:textId="5EE1944D" w:rsidR="00000000" w:rsidRDefault="00657FA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B582E05" wp14:editId="2A9630F9">
            <wp:extent cx="5006340" cy="1760220"/>
            <wp:effectExtent l="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D3D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 8. </w:t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Хроночастотограмма пьезосенсора с сорбентом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t>Tween-40 в парах изовалериановой кислоты.</w:t>
      </w:r>
    </w:p>
    <w:p w14:paraId="0E0ED5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A29B507" w14:textId="3CBBA38C" w:rsidR="00000000" w:rsidRDefault="00657FA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0EA373A" wp14:editId="3086C18A">
            <wp:extent cx="5143500" cy="2346960"/>
            <wp:effectExtent l="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2CE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 9. </w:t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Хроночастотограмма пьезосенсора с сорбентом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t>Tween-40 в парах капроновой кислоты.</w:t>
      </w:r>
    </w:p>
    <w:p w14:paraId="35942840" w14:textId="1AD7157A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657FA1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4559BDD" wp14:editId="2DC933DB">
            <wp:extent cx="5288280" cy="234696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8E5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 10. </w:t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Хроночастотограмма пьезосенсора с сорбентом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t>Tween-40 в парах изокапроновой кислоты.</w:t>
      </w:r>
    </w:p>
    <w:p w14:paraId="0EE1DB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инфекция пьезосенсор микровзвешивание кислота</w:t>
      </w:r>
    </w:p>
    <w:p w14:paraId="09A1E7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465B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  <w:t>Выводы</w:t>
      </w:r>
    </w:p>
    <w:p w14:paraId="5D31D2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5473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Изготовлено 8 пьезосенсоров, путем нанесения пленок модификаторов: МО и УНТ,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Tween</w:t>
      </w:r>
      <w:r>
        <w:rPr>
          <w:rFonts w:ascii="Times New Roman CYR" w:hAnsi="Times New Roman CYR" w:cs="Times New Roman CYR"/>
          <w:kern w:val="0"/>
          <w:sz w:val="28"/>
          <w:szCs w:val="28"/>
        </w:rPr>
        <w:t>-40, БТС, ДНФ, ПЭГ-2000, ПС и SnCl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,БТС, ДЦГ-18-К-6.</w:t>
      </w:r>
    </w:p>
    <w:p w14:paraId="51F2E2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Определена чувствительность приготовленных пленок по отношению к ЛЖК и показано, что наиболее подходящим покрытием для пьезосенсора является Tween-40.</w:t>
      </w:r>
    </w:p>
    <w:p w14:paraId="6DF061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Установлено, что изокислоты характеризуются большей степенью сорбции, по сравнению с нормальными ЛЖК, но с течением времени, масса вещества на сенсоре стабилизируется «сбрасыванием» и становится близкой к массе нормальной кислоты с аналогичным количеством атомов, что на хроночастотограмме определяется резким пикообразным скачком. Тем не менее, различный вид хроночастотограмм позволяет различить в смеси кислоты нормального и изомерного строения.</w:t>
      </w:r>
    </w:p>
    <w:p w14:paraId="39DCD9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87BF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  <w:t>Литература</w:t>
      </w:r>
    </w:p>
    <w:p w14:paraId="3AC960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88A6CE" w14:textId="77777777" w:rsidR="00000000" w:rsidRDefault="00000000">
      <w:pPr>
        <w:widowControl w:val="0"/>
        <w:tabs>
          <w:tab w:val="left" w:pos="55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Смагин А.Г., Ярославский М.И. Пьезоэлектричество кварца и кварцевые резонаторы.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М.: «Энергия», 1970.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488 с.</w:t>
      </w:r>
    </w:p>
    <w:p w14:paraId="47741A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Альтшуллер Г.Б. Кварцевая стабилизация частоты.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М.: «Связь», 1974.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272 с.</w:t>
      </w:r>
    </w:p>
    <w:p w14:paraId="4C2AAA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Андросова В.Г., Банков В.Н., Дикиджи А.Н. и др. Справочник по кварцевым резонаторам / Под ред. П. Г. Позднякова.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Связь, 1978.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288 с.</w:t>
      </w:r>
    </w:p>
    <w:p w14:paraId="1BD220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Глюкман Л.И. Пьезоэлектрические кварцевые резонаторы.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3-е изд., перераб. и доп.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М.: Радио и связь, 1981.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232 с.</w:t>
      </w:r>
    </w:p>
    <w:p w14:paraId="673E8A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Зеленка И. Пьезоэлектрические резонаторы на объёмных и поверхностных акустических волнах: Материалы, технология, конструкция, применение: Пер. с чешск.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М.: Мир, 1990.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584 с.</w:t>
      </w:r>
    </w:p>
    <w:p w14:paraId="655C4D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Ладик А.И., Сташкевич А.И. Изделия электронной техники. Пьезоэлектрические и электромеханические приборы: Справочник.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М.: Радио и связь, 1993.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104 с. </w:t>
      </w:r>
    </w:p>
    <w:p w14:paraId="211E71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Верхоланцев В.В. Физико-химия пленкообразующих систем. Л.: Ленуприз-дат. 1973.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128 с.</w:t>
      </w:r>
    </w:p>
    <w:p w14:paraId="27F028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Tonouke M. Тенденции в разработках сенсоров для распознования запахов // MOL.</w:t>
      </w:r>
      <w:r>
        <w:rPr>
          <w:rFonts w:ascii="Times New Roman CYR" w:hAnsi="Times New Roman CYR" w:cs="Times New Roman CYR"/>
          <w:kern w:val="1"/>
          <w:sz w:val="28"/>
          <w:szCs w:val="28"/>
        </w:rPr>
        <w:t xml:space="preserve"> 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1989.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V. 27, № 11. Р. 86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91.</w:t>
      </w:r>
    </w:p>
    <w:p w14:paraId="433E1D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Xing Wan-Li. Анализ смеси паров органических веществ с использованием матрицы из пьезоэлектрических сенсоров и методологии распознования образов / Wan-Li Xing, Xi-Wen Не, Yan-Hong Fang, Hong-Mei Wei //Acta chim. sin. 1997.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V. 55, № 11.</w:t>
      </w:r>
      <w:r>
        <w:rPr>
          <w:rFonts w:ascii="Times New Roman CYR" w:hAnsi="Times New Roman CYR" w:cs="Times New Roman CYR"/>
          <w:kern w:val="1"/>
          <w:sz w:val="28"/>
          <w:szCs w:val="28"/>
        </w:rPr>
        <w:t xml:space="preserve"> 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P. 1130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1137</w:t>
      </w:r>
    </w:p>
    <w:p w14:paraId="40F3CF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Кери Ф. Углубленный курс органической химии / Ф. Кери, Р. Сандберг / М.: Химия. 1981.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520 с.</w:t>
      </w:r>
    </w:p>
    <w:p w14:paraId="6471F9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Аналитическая химия. В 3 т. Т.3. Химический анализ / [И.Г.Зенкевич и др.]; под ред. Л.Н.Москвина. - М.: «Академия», 2010. - 368 с.</w:t>
      </w:r>
    </w:p>
    <w:p w14:paraId="036F61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Асанова Ю.А.//Определение легколетучих органических веществ в газовых средах с помощью тонких пленок краун-эфиров. Канд. дис. … хим. наук, Воронеж, 2009. - 176 с.</w:t>
      </w:r>
    </w:p>
    <w:p w14:paraId="62F93E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Баженов Л.Г., Исхакова Х.И. // Микробиологическая диагностика гнойно-воспалительных процессов, вызванных строго анаэробными микроорганизмами. Лаб. дело. 1989. N 6. с. 37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42.</w:t>
      </w:r>
    </w:p>
    <w:p w14:paraId="0EDCE5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Борисов Л. Б.// Медицинская микробиология, вирусология и иммунология.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МИА, 2005.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С. 154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156.</w:t>
      </w:r>
    </w:p>
    <w:p w14:paraId="4B6767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Бочков И.А., Покровский В.И. // Анаэробные инфекции в гнойно-септической патологии человека и основные принципы их диагностики. Сов.медицина, 1983. N 6. с. 59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64.</w:t>
      </w:r>
    </w:p>
    <w:p w14:paraId="590B7D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Васильев В.П. Аналитическая химия: учеб.для вузов / В.П. Васильев. - 1 том. М.: Дрофа, 2004. - 368 с.</w:t>
      </w:r>
    </w:p>
    <w:p w14:paraId="28D259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Витенберг А.Г. и соавт. // Газожидкостный парофазный анализ летучих жирных кислот в клиническом материале для экспресс-диагностики анаэробных инфекций. Лаб. дело, 1985, N 3, с. 151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154.</w:t>
      </w:r>
    </w:p>
    <w:p w14:paraId="28C320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Власов Ю.Г. Мультисенсорные системы типа «электронный язык»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новые возможности создания и применения химических сенсоров / Ю.Г. Власов, А.В. Легин, А.М. Рудницкая. //Успехи химии. - Т.75. - №2. - 2006. - с. 141 - 149.</w:t>
      </w:r>
    </w:p>
    <w:p w14:paraId="60B4C0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Грош (Grosch). // Рентгенодиагностика газообразующих и инфекционных процессов мягких тканей. Рад. диагн. 1971, т. 12.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N 6, с. 659 - 667.</w:t>
      </w:r>
    </w:p>
    <w:p w14:paraId="1143E3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Колесов А.П. и соавт. // Анаэробные инфекции в хирургии. Л. Медицина, 1989. - с. 100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101.</w:t>
      </w:r>
    </w:p>
    <w:p w14:paraId="74874E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Кучменко Т.А. Применение метода пьезокварцевого микровзвешивания в аналитической химии / Т.А. Кучменко. - Воронеж: ВГТА, 2001. - 280 с.</w:t>
      </w:r>
    </w:p>
    <w:p w14:paraId="05EE5B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Кучменко Т.А. Инновационные решения в аналитическом контроле / Т.А. Кучменко. - Воронеж: ВГТА, 2009. - 252 с.</w:t>
      </w:r>
    </w:p>
    <w:p w14:paraId="24379B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Махмудов Ю.И. и соавт. // Люминесцентная микроскопия в экспресс-диагностике анаэробной инфекции. Мед. журн. Узбекистана, 1982.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№ 3, c. 44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46.</w:t>
      </w:r>
    </w:p>
    <w:p w14:paraId="044246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Маякова Т.И. и соавт. // Количественное определение летучих жирных кислот газохроматографическим методом для экспресс-диагностики возбудителей неклостридиальной анаэробной инфекции. Вопр. мед.химии, 1989, N 5. с. 71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75.</w:t>
      </w:r>
    </w:p>
    <w:p w14:paraId="7DA07E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Мельников В.Н., Мельников Н.И. // Анаэробные инфекции. М. Медицина, 1973. - с. 49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52.</w:t>
      </w:r>
    </w:p>
    <w:p w14:paraId="111563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Микробиология: учебник для студентов биологических специальностей вузов/М.В. Гусев, Л.А. Минеева. </w:t>
      </w:r>
      <w:r>
        <w:rPr>
          <w:rFonts w:ascii="Times New Roman CYR" w:hAnsi="Times New Roman CYR" w:cs="Times New Roman CYR"/>
          <w:kern w:val="1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4-е изд., стер. - М.: Издательский центр «Академия», 2003. - 464 с.</w:t>
      </w:r>
    </w:p>
    <w:p w14:paraId="7C8600B3" w14:textId="77777777" w:rsidR="00093549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Основы аналитической химии. Кн. 2. Методы химического анализа: Учеб.для вузов / Ю.А. Золотов, Е.Н. Дорохова, В.И. Фадеева и др. //под ред. Ю.А. Золотова - М.: Высш. шк.: 2000. - 494 с.</w:t>
      </w:r>
    </w:p>
    <w:sectPr w:rsidR="0009354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FA1"/>
    <w:rsid w:val="00093549"/>
    <w:rsid w:val="00657FA1"/>
    <w:rsid w:val="0077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DE01D"/>
  <w14:defaultImageDpi w14:val="0"/>
  <w15:docId w15:val="{92DDC012-7B24-45E7-8BED-B836B6AA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2983</Words>
  <Characters>17007</Characters>
  <Application>Microsoft Office Word</Application>
  <DocSecurity>0</DocSecurity>
  <Lines>141</Lines>
  <Paragraphs>39</Paragraphs>
  <ScaleCrop>false</ScaleCrop>
  <Company/>
  <LinksUpToDate>false</LinksUpToDate>
  <CharactersWithSpaces>19951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2025-12-14T19:16:00Z</dcterms:created>
  <dcterms:modified xsi:type="dcterms:W3CDTF">2025-12-14T19:16:00Z</dcterms:modified>
</cp:coreProperties>
</file>