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3276B"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184C191A"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3A6BBD22"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52438E27"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04B14EFB"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212F9A60"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3A420847"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12445680"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62B723A5"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26DF6528"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63387ECE" w14:textId="77777777" w:rsid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p>
    <w:p w14:paraId="0965856C" w14:textId="77777777" w:rsidR="00F422C0" w:rsidRPr="009D611E" w:rsidRDefault="00F422C0" w:rsidP="004929C5">
      <w:pPr>
        <w:keepNext/>
        <w:widowControl w:val="0"/>
        <w:spacing w:after="0" w:line="360" w:lineRule="auto"/>
        <w:ind w:firstLine="709"/>
        <w:jc w:val="center"/>
        <w:rPr>
          <w:rFonts w:ascii="Times New Roman" w:hAnsi="Times New Roman" w:cs="Times New Roman"/>
          <w:color w:val="000000"/>
          <w:sz w:val="28"/>
          <w:szCs w:val="28"/>
        </w:rPr>
      </w:pPr>
      <w:r w:rsidRPr="009D611E">
        <w:rPr>
          <w:rFonts w:ascii="Times New Roman" w:hAnsi="Times New Roman" w:cs="Times New Roman"/>
          <w:color w:val="000000"/>
          <w:sz w:val="28"/>
          <w:szCs w:val="28"/>
        </w:rPr>
        <w:t>Кислотность и основность по Бренстеду-Лоури</w:t>
      </w:r>
    </w:p>
    <w:p w14:paraId="16BC38E2" w14:textId="77777777" w:rsidR="00F422C0" w:rsidRPr="009D611E" w:rsidRDefault="009D611E" w:rsidP="004929C5">
      <w:pPr>
        <w:keepNext/>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br w:type="page"/>
      </w:r>
      <w:r w:rsidR="00F422C0" w:rsidRPr="009D611E">
        <w:rPr>
          <w:rFonts w:ascii="Times New Roman" w:hAnsi="Times New Roman" w:cs="Times New Roman"/>
          <w:color w:val="000000"/>
          <w:sz w:val="28"/>
          <w:szCs w:val="28"/>
        </w:rPr>
        <w:lastRenderedPageBreak/>
        <w:t xml:space="preserve">По Бренстеду-Лоури, кислоты представляют собой вещества, способные отдавать протон, а основания - вещества, присоединяющие протон. Такой подход известен как бренстедовская кислотность и основность органических соединений или протонная теория кислот и оснований (протолитическая теория): кислота протон + основание. </w:t>
      </w:r>
    </w:p>
    <w:p w14:paraId="4DDEF5DD"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Процесс отрыва протона и его присоединение другим партнером по взаимодействию проиллюстрируем простейшим примером. Рассмотрим химизм процесса растворения серной кислоты в воде. Серная кислота отдает протон основанию, роль которого выполняет вода, при этом образуются новая кислота (ион гидроксония H3О+) и новое основание (бисульфат-анион ). Последние еще называются соответственно сопряженной кислотой и сопряженным основанием. С переходом протона взаимодействующие соединения поменялись ролями - серная кислота превратилась в сопряженное основание , а вода (основание) - в сопряженную кислоту H3O+ : </w:t>
      </w:r>
    </w:p>
    <w:p w14:paraId="7D8B0F39"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При смешении серной и уксусной кислот последняя играет роль основания. Образующаяся протонированная уксусная кислота и бисульфат-анион соответственно являются сопряженными кислотой и основанием: то есть, по Бренстеду-Лоури, кислотно-основное взаимодействие рассматривается как процесс передачи протона. Приведенные примеры показывают, что не может быть абсолютного деления веществ на кислоты и основания. Такое деление носит относительный характер. Вещества, потенциально способные быть кислотами, становятся таковыми только в присутствии основания, и наоборот. </w:t>
      </w:r>
    </w:p>
    <w:p w14:paraId="5AD40C25"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Несмотря на относительный характер, деление веществ на кислоты и основания существует, и в основу такого деления положены кислотно-основные взаимодействия в воде. То есть вода принята за своеобразный стандарт для оценки кислотно-основных свойств веществ - стандарт нейтральной среды. Если в аналогичных условиях рассматриваемое вещество способно отдавать водород в виде протона легче, чем вода, то его следует отнести к группе кислот. Если вещество по способности присоединять </w:t>
      </w:r>
      <w:r w:rsidRPr="009D611E">
        <w:rPr>
          <w:rFonts w:ascii="Times New Roman" w:hAnsi="Times New Roman" w:cs="Times New Roman"/>
          <w:color w:val="000000"/>
          <w:sz w:val="28"/>
          <w:szCs w:val="28"/>
        </w:rPr>
        <w:lastRenderedPageBreak/>
        <w:t xml:space="preserve">(связывать) протон превосходит воду - это основание (основность выше, чем у воды). Отнесение веществ к кислотам или основаниям не мешает рассматривать их кислотно-основные свойства во всем диапазоне кислотно-основных взаимодействий, то есть кислоту в роли основания и наоборот. </w:t>
      </w:r>
    </w:p>
    <w:p w14:paraId="13E2CCD3"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Почему все-таки воде досталась роль своеобразного стандарта в делении веществ на кислоты и основания? Вода - одно из самых распространенных на Земле соединений. Ее кислотно-основные свойства определяют естественный фон (атмосфера, почва, моря и океаны). Вода хорошо растворяет многие полярные и диссоциирующие на ионы вещества. По физическим характеристикам вода хорошо сольватирует как недиссоциированные молекулы, так и свободные ионы. Кроме того, молекулы воды способны к автопротолизу - передаче протона между молекулами одного и того же вещества. </w:t>
      </w:r>
    </w:p>
    <w:p w14:paraId="7ED864E9"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Кислотность соединений количественно оценивается долей ионизированной формы вещества в растворе (воде) или константой равновесия (К ) реакции переноса протона от кислоты к воде как основанию. Так, для уксусной кислоты (вода взята в значительном избытке, и ее концентрация практически не меняется) константа кислотности Ка (где а - начальная буква от англ. acid - кислота) выводится из выражения </w:t>
      </w:r>
    </w:p>
    <w:p w14:paraId="4EA42991"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Чем больше Ка (соответственно чем выше доля ионизированной формы вещества), тем сильнее кислота. Для уксусной кислоты Ка равна 1,75 " 10- 5. Такими очень малыми величинами неудобно пользоваться, поэтому используют отрицательный логарифм - lg Ка = pКа . Для уксусной кислоты значение рКа = 4,75. Надо иметь в виду, что, чем меньше величина рКа , тем сильнее кислота. </w:t>
      </w:r>
    </w:p>
    <w:p w14:paraId="0ADB8150"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При растворении в воде оснований вода выполняет роль кислоты. В результате переноса протона от воды к основанию образуются сопряженная кислота HB+ и сопряженное основание OH- : </w:t>
      </w:r>
    </w:p>
    <w:p w14:paraId="21FC812D" w14:textId="77777777" w:rsidR="00DA268C" w:rsidRDefault="00DA268C" w:rsidP="004929C5">
      <w:pPr>
        <w:keepNext/>
        <w:widowControl w:val="0"/>
        <w:spacing w:after="0" w:line="360" w:lineRule="auto"/>
        <w:ind w:firstLine="709"/>
        <w:jc w:val="both"/>
        <w:rPr>
          <w:rFonts w:ascii="Times New Roman" w:hAnsi="Times New Roman" w:cs="Times New Roman"/>
          <w:color w:val="000000"/>
          <w:sz w:val="28"/>
          <w:szCs w:val="28"/>
        </w:rPr>
      </w:pPr>
    </w:p>
    <w:p w14:paraId="6EF46E24"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B + H2O HB+ + HO-. </w:t>
      </w:r>
    </w:p>
    <w:p w14:paraId="32325044"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lastRenderedPageBreak/>
        <w:t xml:space="preserve">Константа основности Кb (b - начальная буква от англ. basic - основной) основания В в воде определяется выражением </w:t>
      </w:r>
    </w:p>
    <w:p w14:paraId="4F3E1DD7"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В рассмотренных примерах кислотно-основных взаимодействий образуются сопряженные кислотно-основные пары. Между силой кислоты и сопряженного с ней основания существует следующая зависимость: чем слабее кислота, тем больше сила сопряженного с ней основания, и наоборот. Так, вода как слабая кислота и слабое основание, теряя или присоединяя протон, превращается в сопряженное сильное основание (ОН-) или сопряженную сильную кислоту (Н3О+). Кислотно-основные равновесия смещены в направлении образования более слабой кислоты и более слабого основания. Поэтому в схеме автопротолиза воды равновесие практически полностью смещено в сторону неионизированной формы. Если расположить кислоты в порядке уменьшения их силы, то сила соответствующих (сопряженных) оснований будет изменяться в обратном порядке: </w:t>
      </w:r>
    </w:p>
    <w:p w14:paraId="1D0B927B" w14:textId="77777777" w:rsidR="00F422C0" w:rsidRPr="00DA268C"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сила</w:t>
      </w:r>
      <w:r w:rsidRPr="00DA268C">
        <w:rPr>
          <w:rFonts w:ascii="Times New Roman" w:hAnsi="Times New Roman" w:cs="Times New Roman"/>
          <w:color w:val="000000"/>
          <w:sz w:val="28"/>
          <w:szCs w:val="28"/>
        </w:rPr>
        <w:t xml:space="preserve"> </w:t>
      </w:r>
      <w:r w:rsidRPr="009D611E">
        <w:rPr>
          <w:rFonts w:ascii="Times New Roman" w:hAnsi="Times New Roman" w:cs="Times New Roman"/>
          <w:color w:val="000000"/>
          <w:sz w:val="28"/>
          <w:szCs w:val="28"/>
        </w:rPr>
        <w:t>кислот</w:t>
      </w:r>
      <w:r w:rsidRPr="00DA268C">
        <w:rPr>
          <w:rFonts w:ascii="Times New Roman" w:hAnsi="Times New Roman" w:cs="Times New Roman"/>
          <w:color w:val="000000"/>
          <w:sz w:val="28"/>
          <w:szCs w:val="28"/>
        </w:rPr>
        <w:t xml:space="preserve">: </w:t>
      </w:r>
      <w:r w:rsidRPr="009D611E">
        <w:rPr>
          <w:rFonts w:ascii="Times New Roman" w:hAnsi="Times New Roman" w:cs="Times New Roman"/>
          <w:color w:val="000000"/>
          <w:sz w:val="28"/>
          <w:szCs w:val="28"/>
          <w:lang w:val="en-US"/>
        </w:rPr>
        <w:t>H</w:t>
      </w:r>
      <w:r w:rsidRPr="00DA268C">
        <w:rPr>
          <w:rFonts w:ascii="Times New Roman" w:hAnsi="Times New Roman" w:cs="Times New Roman"/>
          <w:color w:val="000000"/>
          <w:sz w:val="28"/>
          <w:szCs w:val="28"/>
        </w:rPr>
        <w:t>2</w:t>
      </w:r>
      <w:r w:rsidRPr="009D611E">
        <w:rPr>
          <w:rFonts w:ascii="Times New Roman" w:hAnsi="Times New Roman" w:cs="Times New Roman"/>
          <w:color w:val="000000"/>
          <w:sz w:val="28"/>
          <w:szCs w:val="28"/>
          <w:lang w:val="en-US"/>
        </w:rPr>
        <w:t>SO</w:t>
      </w:r>
      <w:r w:rsidRPr="00DA268C">
        <w:rPr>
          <w:rFonts w:ascii="Times New Roman" w:hAnsi="Times New Roman" w:cs="Times New Roman"/>
          <w:color w:val="000000"/>
          <w:sz w:val="28"/>
          <w:szCs w:val="28"/>
        </w:rPr>
        <w:t xml:space="preserve">4 &gt; </w:t>
      </w:r>
      <w:r w:rsidRPr="009D611E">
        <w:rPr>
          <w:rFonts w:ascii="Times New Roman" w:hAnsi="Times New Roman" w:cs="Times New Roman"/>
          <w:color w:val="000000"/>
          <w:sz w:val="28"/>
          <w:szCs w:val="28"/>
          <w:lang w:val="en-US"/>
        </w:rPr>
        <w:t>H</w:t>
      </w:r>
      <w:r w:rsidRPr="00DA268C">
        <w:rPr>
          <w:rFonts w:ascii="Times New Roman" w:hAnsi="Times New Roman" w:cs="Times New Roman"/>
          <w:color w:val="000000"/>
          <w:sz w:val="28"/>
          <w:szCs w:val="28"/>
        </w:rPr>
        <w:t>3</w:t>
      </w:r>
      <w:r w:rsidRPr="009D611E">
        <w:rPr>
          <w:rFonts w:ascii="Times New Roman" w:hAnsi="Times New Roman" w:cs="Times New Roman"/>
          <w:color w:val="000000"/>
          <w:sz w:val="28"/>
          <w:szCs w:val="28"/>
          <w:lang w:val="en-US"/>
        </w:rPr>
        <w:t>O</w:t>
      </w:r>
      <w:r w:rsidRPr="00DA268C">
        <w:rPr>
          <w:rFonts w:ascii="Times New Roman" w:hAnsi="Times New Roman" w:cs="Times New Roman"/>
          <w:color w:val="000000"/>
          <w:sz w:val="28"/>
          <w:szCs w:val="28"/>
        </w:rPr>
        <w:t xml:space="preserve">+&gt; &gt; </w:t>
      </w:r>
      <w:r w:rsidRPr="009D611E">
        <w:rPr>
          <w:rFonts w:ascii="Times New Roman" w:hAnsi="Times New Roman" w:cs="Times New Roman"/>
          <w:color w:val="000000"/>
          <w:sz w:val="28"/>
          <w:szCs w:val="28"/>
          <w:lang w:val="en-US"/>
        </w:rPr>
        <w:t>H</w:t>
      </w:r>
      <w:r w:rsidRPr="00DA268C">
        <w:rPr>
          <w:rFonts w:ascii="Times New Roman" w:hAnsi="Times New Roman" w:cs="Times New Roman"/>
          <w:color w:val="000000"/>
          <w:sz w:val="28"/>
          <w:szCs w:val="28"/>
        </w:rPr>
        <w:t>2</w:t>
      </w:r>
      <w:r w:rsidRPr="009D611E">
        <w:rPr>
          <w:rFonts w:ascii="Times New Roman" w:hAnsi="Times New Roman" w:cs="Times New Roman"/>
          <w:color w:val="000000"/>
          <w:sz w:val="28"/>
          <w:szCs w:val="28"/>
          <w:lang w:val="en-US"/>
        </w:rPr>
        <w:t>O</w:t>
      </w:r>
      <w:r w:rsidRPr="00DA268C">
        <w:rPr>
          <w:rFonts w:ascii="Times New Roman" w:hAnsi="Times New Roman" w:cs="Times New Roman"/>
          <w:color w:val="000000"/>
          <w:sz w:val="28"/>
          <w:szCs w:val="28"/>
        </w:rPr>
        <w:t xml:space="preserve">, </w:t>
      </w:r>
    </w:p>
    <w:p w14:paraId="5FFF3633"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сила оснований: &lt; H2O &lt; NH3 &lt; OH-. </w:t>
      </w:r>
    </w:p>
    <w:p w14:paraId="5CCF213C"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Основность соединений оценивают по величине рКа сопряженных с ними кислот. Чем больше величина рКа сопряженной кислоты, тем больше основность соединения. Для этих же целей можно воспользоваться известной зависимостью: произведение константы кислотности кислоты и константы основности сопряженного с ней основания в любом растворителе равно константе автопротолиза этого растворителя: рКа + рКb = рКавто , тогда рКb = рКавто - рКа . Подставляя известные значения рКНОН = 14, рКа уксусной кислоты равно 4,75, определяем рКb - основность сопряженного основания (ацетат-иона CH3COO-): 14 - 4,75 = 9,25. В табл. 1 приведены рКа для различных типов бренстедовских кислот. </w:t>
      </w:r>
    </w:p>
    <w:p w14:paraId="113AEB6B"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Для удобства оценки кислотности растворов или смесей введено выражение рН (водородный показатель, рН = - lg [H+ ]). Для нейтральной среды (дистиллированная вода) значение рН равно 7. Увеличение значения рН с 7 до 14 характеризует увеличение основности среды. Область рН от 7 до </w:t>
      </w:r>
      <w:r w:rsidRPr="009D611E">
        <w:rPr>
          <w:rFonts w:ascii="Times New Roman" w:hAnsi="Times New Roman" w:cs="Times New Roman"/>
          <w:color w:val="000000"/>
          <w:sz w:val="28"/>
          <w:szCs w:val="28"/>
        </w:rPr>
        <w:lastRenderedPageBreak/>
        <w:t xml:space="preserve">1 характерна для кислотной среды, и чем меньше значение рН, тем выше кислотность. Количественно кислотность и основность определяются методами аналитической химии. Значение рН можно определить экспресс-методами с помощью специальных индикаторов. </w:t>
      </w:r>
    </w:p>
    <w:p w14:paraId="1C661B93"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Согласно Бренстеду-Лоури, для того чтобы быть кислотой, соединение должно иметь водород. За редким исключением почти все органические соединения отвечают этому условию. Поэтому все они являются потенциальными бренстедовскими кислотами. А вот сила этих кислот определяется конкретной структурой соединений. Степень кислотности определяется главным образом характером атома, с которым связан водород. Элемент и связанный с ним атом водорода называют кислотным центром. Кислотность соединения будет определяться как характером связи в кислотном центре (элемент-водород) (статический фактор), так и способностью атома удерживать электронную пару после ухода иона водорода (динамический фактор). Способность удерживать электронную пару зависит от различных факторов, в том числе от электроотрицательности атомов и их размера. Таким образом, в периодах таблицы Менделеева кислотность возрастает с увеличением электроотрицательности. </w:t>
      </w:r>
    </w:p>
    <w:p w14:paraId="143C969E"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Кислотность: H - CH3 &lt; H - NH2 &lt; H - OH &lt; H - F, </w:t>
      </w:r>
    </w:p>
    <w:p w14:paraId="736AF86C"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p>
    <w:p w14:paraId="69C93CF2"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H - SH &lt; H - Cl. </w:t>
      </w:r>
    </w:p>
    <w:p w14:paraId="6833F78A"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p>
    <w:p w14:paraId="2CAC4AFE"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В группах кислотность возрастает с увеличением размеров атома. </w:t>
      </w:r>
    </w:p>
    <w:p w14:paraId="68C5AE4A"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Кислотность: H - F &lt; H - Cl &lt; H - Br &lt; H - J, </w:t>
      </w:r>
    </w:p>
    <w:p w14:paraId="02BC39AF"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p>
    <w:p w14:paraId="09FD982A"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lang w:val="en-US"/>
        </w:rPr>
      </w:pPr>
      <w:r w:rsidRPr="009D611E">
        <w:rPr>
          <w:rFonts w:ascii="Times New Roman" w:hAnsi="Times New Roman" w:cs="Times New Roman"/>
          <w:color w:val="000000"/>
          <w:sz w:val="28"/>
          <w:szCs w:val="28"/>
          <w:lang w:val="en-US"/>
        </w:rPr>
        <w:t xml:space="preserve">H - OH &lt; H - SH &lt; H - SeH. </w:t>
      </w:r>
    </w:p>
    <w:p w14:paraId="60C32F77"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lang w:val="en-US"/>
        </w:rPr>
      </w:pPr>
    </w:p>
    <w:p w14:paraId="3B00DF82"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Проанализировав количественные характеристики (рКа) указанных кислот (табл. 1), убеждаемся в достоверности приведенных рядов. Рост электроотрицательности атома в кислотном центре или его поляризуемости </w:t>
      </w:r>
      <w:r w:rsidRPr="009D611E">
        <w:rPr>
          <w:rFonts w:ascii="Times New Roman" w:hAnsi="Times New Roman" w:cs="Times New Roman"/>
          <w:color w:val="000000"/>
          <w:sz w:val="28"/>
          <w:szCs w:val="28"/>
        </w:rPr>
        <w:lastRenderedPageBreak/>
        <w:t xml:space="preserve">(с увеличением размеров атома) способствует делокализализации отрицательного заряда, образующегося после отрыва водорода в виде протона, что приводит к повышению кислотности. </w:t>
      </w:r>
    </w:p>
    <w:p w14:paraId="2B8B4F60"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Наибольшую кислотность иодистоводородной кислоты в ряду галогеноводородных кислот можно связать с высокой поляризуемостью иодид-аниона по сравнению с другими галогенид-ионами, хотя электроотрицательность изменяется в обратном порядке. По природе кислотного центра большинство бренстедовских кислот может быть представлено четырьмя типами: ОН-кислоты (карбоновые кислоты, фенолы, спирты), SH-кислоты (тиолы), NH-кислоты (амины, амиды, имиды), CH-кислоты (углеводороды и их производные). В соответствии с приведенной выше оценкой роли природы атома в кислотном центре можно было бы ожидать, что кислотность будет снижаться при переходе от SH- к OH-, NH- и CH-кислотам. Если примыкающие к кислотным центрам радикалы одинаковы или близки по природе (например, алкильные группы), то такая закономерность действительно соблюдается. Если с кислотными центрами связаны разные по природе заместители, то однозначную оценку кислотности соединений разных типов сделать трудно. Влияние примыкающего к кислотному центру радикала может стать более существенным, чем природа центрального атома в кислотном центре. Например, нитрометан (СН-кислота) по кислотности находится на уровне тиолов (SH-кислоты) и превосходит ряд ОН- и NH-кислот. Относительную кислотность соединений, в том числе относящихся к кислотам различного типа, можно определить пользуясь известным правилом: более сильные кислоты вытесняют более слабые из их солей. Так, для определения относительной кислотности воды, аммиака и ацетилена (соответственно ОН-, NH- и CH- кислоты) можно использовать тот факт, что ацетилен разрушает амид натрия с образованием ацетиленида, а последний разлагается водой. Таким образом, ацетилен по кислотности находится между водой и аммиаком: H2O &gt; HC¦CH &gt; NH3 , что согласуется с данными табл. 1. Общим </w:t>
      </w:r>
      <w:r w:rsidRPr="009D611E">
        <w:rPr>
          <w:rFonts w:ascii="Times New Roman" w:hAnsi="Times New Roman" w:cs="Times New Roman"/>
          <w:color w:val="000000"/>
          <w:sz w:val="28"/>
          <w:szCs w:val="28"/>
        </w:rPr>
        <w:lastRenderedPageBreak/>
        <w:t xml:space="preserve">подходом к оценке тех или иных свойств органических веществ является бутлеровский тезис: структура определяет свойства. Структура предопределяет взаимное влияние атомов в молекулах, что в конечном итоге реализуется в конкретных свойствах. Рассмотрим несколько примеров, как структура (природа радикала у кислотного центра) влияет на кислотность органических соединений. Известно, что в ряду ОН-кислот кислотные свойства убывают в следующем порядке: карбоновые кислоты &gt; фенолы &gt; спирты. В этом ряду радикалами у кислотных центров соответственно являются ацил с ярко выраженным акцепторным характером, арил, относящийся к акцепторным заместителям, но уступающий ацилам, и алкил, характеризующийся хотя и слабым, но электронодонорным эффектом. Указанные радикалы до разрыва связи О-Н будут различным образом влиять на ее поляризацию: чем выше акцепторность радикала, тем выше полярность связи (статический фактор). Однако более существенное влияние заместителей будет проявляться после разрыва О-Н-связи: чем выше степень делокализации заряда аниона, тем выше его устойчивость (динамический фактор). А чем стабильнее частица (в нашем случае кислородцентрированный анион), тем ниже энергетические барьеры на пути ее образования. В рассматриваемых примерах устойчивость анионов будет уменьшаться в следующем порядке: ацилат-анион &gt; феноксид-анион &gt; алкоксид-анион: В первом случае делокализация заряда достигается за счет его распределения между двумя эквивалентными атомами кислорода. В феноксид-анионе делокализация заряда достигается за счет сопряжения электронных пар атома кислорода с p-системой ароматического ядра, в результате чего часть электронной плотности с атома кислорода переносится на ароматическое ядро (отрицательный заряд на атоме кислорода снижается). Высокая степень локализации заряда на атоме кислорода в алкоксид-анионе делает его наименее стабильным и соответственно наиболее трудно образующимся. </w:t>
      </w:r>
    </w:p>
    <w:p w14:paraId="1A70E4DA" w14:textId="77777777" w:rsidR="00F422C0" w:rsidRPr="009D611E" w:rsidRDefault="00F422C0" w:rsidP="004929C5">
      <w:pPr>
        <w:keepNext/>
        <w:widowControl w:val="0"/>
        <w:spacing w:after="0" w:line="360" w:lineRule="auto"/>
        <w:ind w:firstLine="709"/>
        <w:jc w:val="both"/>
        <w:rPr>
          <w:rFonts w:ascii="Times New Roman" w:hAnsi="Times New Roman" w:cs="Times New Roman"/>
          <w:color w:val="000000"/>
          <w:sz w:val="28"/>
          <w:szCs w:val="28"/>
        </w:rPr>
      </w:pPr>
      <w:r w:rsidRPr="009D611E">
        <w:rPr>
          <w:rFonts w:ascii="Times New Roman" w:hAnsi="Times New Roman" w:cs="Times New Roman"/>
          <w:color w:val="000000"/>
          <w:sz w:val="28"/>
          <w:szCs w:val="28"/>
        </w:rPr>
        <w:t xml:space="preserve">Легко понять, что введение в радикал у кислотного центра </w:t>
      </w:r>
      <w:r w:rsidRPr="009D611E">
        <w:rPr>
          <w:rFonts w:ascii="Times New Roman" w:hAnsi="Times New Roman" w:cs="Times New Roman"/>
          <w:color w:val="000000"/>
          <w:sz w:val="28"/>
          <w:szCs w:val="28"/>
        </w:rPr>
        <w:lastRenderedPageBreak/>
        <w:t>электроноакцепторных заместителей будет способствовать повышению кислотности всех типов кислот. Особенно резкое повышение кислотности СН-кислот наступает в случае, если введение такого заместителя придает соединению возможность существовать в нескольких таутомерных формах. Сравните кислотность двух СН-кислот: хлороформа и нитрометана (см. табл. 1). Из таблицы видно, что кислотность последнего почти на пять порядков выше. Столь значительная разница в кислотности двух указанных соединений обусловлена тем, что нитрометан может существовать в двух таутомерных формах с общим мезомерным анионом. Аналогичный подход можно использовать для объяснения подвижности a-водородных атомов в карбонильных соединениях. Кратко остановимся на влиянии электронных факторов на основность органических соединений. В качестве оснований могут выступать анионы или нейтральные молекулы, содержащие атомы с неподеленными электронными парами. В роли последних чаще всего выступают азот- и кислородсодержащие соединения. Сила оснований будет определяться концентрацией электронной плотности на основных центрах (центрах протонирования). Влияние электронных факторов на основность органических соединений будет прямо противоположным тому, что выше было рассмотрено для кислот: электронодонорные заместители у основных центров будут усиливать основность, акцепторные - ее понижать. Кроме оснований, понимаемых в рамках широкой трактовки этого термина, существует более узкая трактовка - органические основания. Это органические соединения, используемые на практике в качестве акцепторов протонов. К ним относятся нейтральные основания (третичные амины, амидины) и анионные основания (алкоголяты и амиды щелочных металлов, металлоорганические соединения). В препаративных синтезах эту роль чаще всего выполняют третичные амины - триэтиламин, диметиланилин, пиридин. Используя рассмотренные выше подходы в оценке кислотно-основных свойств органических соединений, можно на качественном уровне дать характеристику любому органическому соединению.</w:t>
      </w:r>
    </w:p>
    <w:sectPr w:rsidR="00F422C0" w:rsidRPr="009D611E" w:rsidSect="00F57C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91F"/>
    <w:rsid w:val="001522ED"/>
    <w:rsid w:val="00357BFA"/>
    <w:rsid w:val="004929C5"/>
    <w:rsid w:val="00533EAB"/>
    <w:rsid w:val="00733F5F"/>
    <w:rsid w:val="009D611E"/>
    <w:rsid w:val="00B649EF"/>
    <w:rsid w:val="00BD5997"/>
    <w:rsid w:val="00BE11AD"/>
    <w:rsid w:val="00DA268C"/>
    <w:rsid w:val="00DB091F"/>
    <w:rsid w:val="00F422C0"/>
    <w:rsid w:val="00F57CD0"/>
    <w:rsid w:val="00FD2DE3"/>
    <w:rsid w:val="00FF2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40A7AB"/>
  <w14:defaultImageDpi w14:val="0"/>
  <w15:docId w15:val="{9B7E2308-CADC-4660-B0CA-C4F58ECB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CD0"/>
    <w:rPr>
      <w:rFonts w:cs="Calibri"/>
      <w:lang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1983</Words>
  <Characters>11308</Characters>
  <Application>Microsoft Office Word</Application>
  <DocSecurity>0</DocSecurity>
  <Lines>94</Lines>
  <Paragraphs>26</Paragraphs>
  <ScaleCrop>false</ScaleCrop>
  <Company>Microsoft</Company>
  <LinksUpToDate>false</LinksUpToDate>
  <CharactersWithSpaces>13265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Кислотность и основность по Бренстеду-Лоури</dc:title>
  <dc:subject/>
  <dc:creator>Deti</dc:creator>
  <cp:keywords/>
  <dc:description/>
  <cp:lastModifiedBy>Пользователь</cp:lastModifiedBy>
  <cp:revision>2</cp:revision>
  <dcterms:created xsi:type="dcterms:W3CDTF">2025-12-13T17:14:00Z</dcterms:created>
  <dcterms:modified xsi:type="dcterms:W3CDTF">2025-12-13T17:14:00Z</dcterms:modified>
</cp:coreProperties>
</file>