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97EC" w14:textId="77777777" w:rsidR="00847A4F" w:rsidRDefault="00403D16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aps/>
          <w:spacing w:val="-2"/>
          <w:sz w:val="28"/>
          <w:szCs w:val="28"/>
        </w:rPr>
      </w:pPr>
      <w:bookmarkStart w:id="0" w:name="OLE_LINK3"/>
      <w:bookmarkStart w:id="1" w:name="OLE_LINK4"/>
      <w:r w:rsidRPr="0050677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Основы теории и основные понятия </w:t>
      </w:r>
      <w:r w:rsidRPr="00847A4F">
        <w:rPr>
          <w:rFonts w:ascii="Times New Roman" w:hAnsi="Times New Roman" w:cs="Times New Roman"/>
          <w:b/>
          <w:bCs/>
          <w:spacing w:val="-2"/>
          <w:sz w:val="28"/>
          <w:szCs w:val="28"/>
        </w:rPr>
        <w:t>процесса хроматографического разделения</w:t>
      </w:r>
    </w:p>
    <w:bookmarkEnd w:id="0"/>
    <w:bookmarkEnd w:id="1"/>
    <w:p w14:paraId="1FF009A9" w14:textId="77777777" w:rsidR="00CE5FD4" w:rsidRPr="00847A4F" w:rsidRDefault="00CE5FD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14:paraId="56AF5277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OLE_LINK1"/>
      <w:bookmarkStart w:id="3" w:name="OLE_LINK2"/>
      <w:r w:rsidRPr="00506777">
        <w:rPr>
          <w:rFonts w:ascii="Times New Roman" w:hAnsi="Times New Roman" w:cs="Times New Roman"/>
          <w:sz w:val="28"/>
          <w:szCs w:val="28"/>
        </w:rPr>
        <w:t xml:space="preserve">Процесс хроматографического разделения очень сложен, тем не </w:t>
      </w:r>
      <w:r w:rsidR="00351114" w:rsidRPr="00506777">
        <w:rPr>
          <w:rFonts w:ascii="Times New Roman" w:hAnsi="Times New Roman" w:cs="Times New Roman"/>
          <w:sz w:val="28"/>
          <w:szCs w:val="28"/>
        </w:rPr>
        <w:t>менее,</w:t>
      </w:r>
      <w:r w:rsidRPr="00506777">
        <w:rPr>
          <w:rFonts w:ascii="Times New Roman" w:hAnsi="Times New Roman" w:cs="Times New Roman"/>
          <w:sz w:val="28"/>
          <w:szCs w:val="28"/>
        </w:rPr>
        <w:t xml:space="preserve"> его отдельные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стадии могут быть смоделированы и представлены в виде уравнений, достаточно точно и </w:t>
      </w:r>
      <w:r w:rsidRPr="00506777">
        <w:rPr>
          <w:rFonts w:ascii="Times New Roman" w:hAnsi="Times New Roman" w:cs="Times New Roman"/>
          <w:sz w:val="28"/>
          <w:szCs w:val="28"/>
        </w:rPr>
        <w:t>верно отражающих реальный процесс. Без знания того, что такое удерживание, эффективность, селективность, нагрузочная емкость, невозможно подойти к решению практических задач по ВЭЖХ, постоянно возникающих перед исследователем независимо от того, в какой области он работает</w:t>
      </w:r>
      <w:bookmarkEnd w:id="2"/>
      <w:bookmarkEnd w:id="3"/>
      <w:r w:rsidRPr="00506777">
        <w:rPr>
          <w:rFonts w:ascii="Times New Roman" w:hAnsi="Times New Roman" w:cs="Times New Roman"/>
          <w:sz w:val="28"/>
          <w:szCs w:val="28"/>
        </w:rPr>
        <w:t>.</w:t>
      </w:r>
    </w:p>
    <w:p w14:paraId="1EFB704E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14:paraId="2F102858" w14:textId="77777777" w:rsidR="00847A4F" w:rsidRPr="00506777" w:rsidRDefault="00881F3D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1.1</w:t>
      </w:r>
      <w:r w:rsidR="00847A4F"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ЭФФЕКТИВНОСТЬ И СЕЛЕКТИВНОСТЬ</w:t>
      </w:r>
    </w:p>
    <w:p w14:paraId="19E880CD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14:paraId="07A2013B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2"/>
          <w:sz w:val="28"/>
          <w:szCs w:val="28"/>
        </w:rPr>
        <w:t>Хроматография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—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это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метод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разделения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компонентов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смеси,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основанный</w:t>
      </w:r>
      <w:r w:rsidR="0035111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на </w:t>
      </w:r>
      <w:r w:rsidRPr="00506777">
        <w:rPr>
          <w:rFonts w:ascii="Times New Roman" w:hAnsi="Times New Roman" w:cs="Times New Roman"/>
          <w:sz w:val="28"/>
          <w:szCs w:val="28"/>
        </w:rPr>
        <w:t>различии в равновесном распределении их между двумя несмешивающимися фазами,</w:t>
      </w:r>
      <w:r w:rsidR="00403D16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одна из которых неподвижна, а другая подвижна. Компоненты образца движутся по колонке, когда они находятся в подвижной фазе, и остаются на месте, когда находятся в неподвижной фазе. Чем больше сродство компонента к неподвижной фазе и чем меньше — к подвижной, тем медленнее он движется по колонке и тем дольше в ней удерживается. За счет различия в сродстве компонентов смеси к неподвижной и подвижной фазам достигается основная цель хроматографии — разделение за приемлемый промежуток времени смеси на отдельные полосы (пики) компонентов по мере их продвижения по колонке с подвижной фазой.</w:t>
      </w:r>
    </w:p>
    <w:p w14:paraId="6D15F638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Из этих общих представлений ясно, что хроматографическое разделение возможно только в том случае, если компоненты образца, попадая в колонку при вводе пробы, во-первых, будут растворены в подвижной фазе и, во-вторых, будут взаимодействовать (удерживаться) с неподвижной фазой. Если при вводе пробы какие-то компоненты находятся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не в виде раствора, они будут отфильтрованы и не будут участвовать в хроматографическом процессе. Точно так же компоненты, не взаимодействующие с неподвижной фазой, пройдут через колонку с подвижной фазой, не разделяясь на компоненты.</w:t>
      </w:r>
    </w:p>
    <w:p w14:paraId="7E93AE9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Примем условие, что какие-то два компонента растворимы в подвижной фазе и взаимодействуют с неподвижной фазой, т.е. хроматографический процесс может протекать без нарушений. В этом случае после прохождения смеси через колонку можно получить хроматограммы вида а, б или в (рис. 1.1). Эти хроматограммы иллюстрируют хроматографические разделения, отличающиеся эффективностью (а и б) при равной селективности и селективностью (б и в) при равной эффективности.</w:t>
      </w:r>
    </w:p>
    <w:p w14:paraId="029EA903" w14:textId="77777777" w:rsidR="00847A4F" w:rsidRPr="00B74A68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Эффективность колонки тем выше, чем уже пик получается при том же времени удерживания. Эффективность колонки измеряется числом теоретических тарелок (ЧТТ)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506777">
        <w:rPr>
          <w:rFonts w:ascii="Times New Roman" w:hAnsi="Times New Roman" w:cs="Times New Roman"/>
          <w:sz w:val="28"/>
          <w:szCs w:val="28"/>
        </w:rPr>
        <w:t>: чем выше эффективность, тем больше ЧТТ, тем меньше расширение пика</w:t>
      </w:r>
    </w:p>
    <w:p w14:paraId="1BC681D4" w14:textId="77777777" w:rsidR="00B74A68" w:rsidRPr="00B74A68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6F5C2A" w14:textId="77777777" w:rsidR="00847A4F" w:rsidRPr="00506777" w:rsidRDefault="00714EEC" w:rsidP="003511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0AE5D8" wp14:editId="10207E37">
            <wp:extent cx="1402080" cy="2392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F7FF1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Рис. 1.1. Вид хроматограммы в зависимости от эффективности и селективности колонки: а — обычная селективность, пониженная эффективность (меньше теоретических тарелок), б — обычные селективность и эффек-тивность; в — обычная эффективность, повышенная селективность (больше отношение времен удерживания компонентов)</w:t>
      </w:r>
    </w:p>
    <w:p w14:paraId="294BFB5F" w14:textId="77777777" w:rsidR="00847A4F" w:rsidRPr="00506777" w:rsidRDefault="00714EEC" w:rsidP="003511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E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996C970" wp14:editId="38BAB623">
            <wp:extent cx="1478280" cy="1348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7358A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>Рис. 1.2. Параметры хроматографического пика и расчет числа теоретических тарелок:</w:t>
      </w:r>
    </w:p>
    <w:p w14:paraId="40CDDAA8" w14:textId="77777777" w:rsidR="00847A4F" w:rsidRPr="00881F3D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2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2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— время удерживания пика; </w:t>
      </w:r>
      <w:r w:rsidRPr="00506777">
        <w:rPr>
          <w:rFonts w:ascii="Times New Roman" w:hAnsi="Times New Roman" w:cs="Times New Roman"/>
          <w:spacing w:val="-2"/>
          <w:sz w:val="28"/>
          <w:szCs w:val="28"/>
          <w:lang w:val="en-US"/>
        </w:rPr>
        <w:t>h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— высота пика; </w:t>
      </w:r>
      <w:r w:rsidRPr="00506777">
        <w:rPr>
          <w:rFonts w:ascii="Times New Roman" w:hAnsi="Times New Roman" w:cs="Times New Roman"/>
          <w:spacing w:val="-2"/>
          <w:sz w:val="28"/>
          <w:szCs w:val="28"/>
          <w:lang w:val="en-US"/>
        </w:rPr>
        <w:t>W</w:t>
      </w:r>
      <w:r w:rsidRPr="00506777">
        <w:rPr>
          <w:rFonts w:ascii="Times New Roman" w:hAnsi="Times New Roman" w:cs="Times New Roman"/>
          <w:spacing w:val="-2"/>
          <w:sz w:val="28"/>
          <w:szCs w:val="28"/>
          <w:vertAlign w:val="subscript"/>
        </w:rPr>
        <w:t>1/2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— ширина пика на половине </w:t>
      </w:r>
      <w:r w:rsidRPr="00506777">
        <w:rPr>
          <w:rFonts w:ascii="Times New Roman" w:hAnsi="Times New Roman" w:cs="Times New Roman"/>
          <w:sz w:val="28"/>
          <w:szCs w:val="28"/>
        </w:rPr>
        <w:t>его высоты</w:t>
      </w:r>
    </w:p>
    <w:p w14:paraId="344A2B9C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77CB94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первоначально узкой полосы по мере прохождения ее через колонку, тем уже шик на выходе из колонки. ЧТТ характеризует число ступеней установления равновесия между подвижной и неподвижной фазами. ЧТТ легко определить по хроматограмме (рис. 1.2) последующей формуле:</w:t>
      </w:r>
    </w:p>
    <w:p w14:paraId="3AC9A051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13"/>
          <w:sz w:val="28"/>
          <w:szCs w:val="28"/>
        </w:rPr>
      </w:pPr>
    </w:p>
    <w:p w14:paraId="64181C10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N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 xml:space="preserve"> = 5,54(</w:t>
      </w: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 xml:space="preserve"> / </w:t>
      </w: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W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</w:rPr>
        <w:t>1/2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>)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perscript"/>
        </w:rPr>
        <w:t>2</w:t>
      </w:r>
    </w:p>
    <w:p w14:paraId="0BF98D73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B41D03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Зная число теоретических тарелок, приходящееся на колонку, и длину колонки L (мкм), а также средний диаметр зерна сорбента dc (мкм), легко получить значения высоты, эквивалентной теоретической тарелке (ВЭТТ), а также приведенной высоты, эквивалентной теоретической тарелке (ПВЭТТ):</w:t>
      </w:r>
    </w:p>
    <w:p w14:paraId="3BC9EAAF" w14:textId="77777777" w:rsidR="00B74A68" w:rsidRPr="00B74A68" w:rsidRDefault="00B74A68" w:rsidP="00351114">
      <w:pPr>
        <w:shd w:val="clear" w:color="auto" w:fill="FFFFFF"/>
        <w:tabs>
          <w:tab w:val="left" w:pos="2808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14:paraId="4C3D194F" w14:textId="77777777" w:rsidR="00847A4F" w:rsidRPr="00881F3D" w:rsidRDefault="00847A4F" w:rsidP="00351114">
      <w:pPr>
        <w:shd w:val="clear" w:color="auto" w:fill="FFFFFF"/>
        <w:tabs>
          <w:tab w:val="left" w:pos="280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2"/>
          <w:sz w:val="28"/>
          <w:szCs w:val="28"/>
        </w:rPr>
        <w:t>ВЭТТ</w:t>
      </w:r>
      <w:r w:rsidRPr="00881F3D">
        <w:rPr>
          <w:rFonts w:ascii="Times New Roman" w:hAnsi="Times New Roman" w:cs="Times New Roman"/>
          <w:spacing w:val="-2"/>
          <w:sz w:val="28"/>
          <w:szCs w:val="28"/>
        </w:rPr>
        <w:t xml:space="preserve"> = </w:t>
      </w:r>
      <w:r w:rsidRPr="00B74A68">
        <w:rPr>
          <w:rFonts w:ascii="Times New Roman" w:hAnsi="Times New Roman" w:cs="Times New Roman"/>
          <w:spacing w:val="-2"/>
          <w:sz w:val="28"/>
          <w:szCs w:val="28"/>
          <w:lang w:val="en-US"/>
        </w:rPr>
        <w:t>L</w:t>
      </w:r>
      <w:r w:rsidRPr="00881F3D">
        <w:rPr>
          <w:rFonts w:ascii="Times New Roman" w:hAnsi="Times New Roman" w:cs="Times New Roman"/>
          <w:spacing w:val="-2"/>
          <w:sz w:val="28"/>
          <w:szCs w:val="28"/>
        </w:rPr>
        <w:t xml:space="preserve"> / </w:t>
      </w:r>
      <w:r w:rsidRPr="00506777">
        <w:rPr>
          <w:rFonts w:ascii="Times New Roman" w:hAnsi="Times New Roman" w:cs="Times New Roman"/>
          <w:spacing w:val="-2"/>
          <w:sz w:val="28"/>
          <w:szCs w:val="28"/>
          <w:lang w:val="en-US"/>
        </w:rPr>
        <w:t>N</w:t>
      </w:r>
      <w:r w:rsidRPr="00881F3D">
        <w:rPr>
          <w:rFonts w:ascii="Times New Roman" w:hAnsi="Times New Roman" w:cs="Times New Roman"/>
          <w:sz w:val="28"/>
          <w:szCs w:val="28"/>
        </w:rPr>
        <w:tab/>
      </w:r>
      <w:r w:rsidRPr="00506777">
        <w:rPr>
          <w:rFonts w:ascii="Times New Roman" w:hAnsi="Times New Roman" w:cs="Times New Roman"/>
          <w:spacing w:val="-4"/>
          <w:sz w:val="28"/>
          <w:szCs w:val="28"/>
        </w:rPr>
        <w:t>ПВЭТТ</w:t>
      </w:r>
      <w:r w:rsidRPr="00881F3D">
        <w:rPr>
          <w:rFonts w:ascii="Times New Roman" w:hAnsi="Times New Roman" w:cs="Times New Roman"/>
          <w:spacing w:val="-4"/>
          <w:sz w:val="28"/>
          <w:szCs w:val="28"/>
        </w:rPr>
        <w:t xml:space="preserve"> = </w:t>
      </w:r>
      <w:r w:rsidRPr="00B74A68">
        <w:rPr>
          <w:rFonts w:ascii="Times New Roman" w:hAnsi="Times New Roman" w:cs="Times New Roman"/>
          <w:spacing w:val="-4"/>
          <w:sz w:val="28"/>
          <w:szCs w:val="28"/>
          <w:lang w:val="en-US"/>
        </w:rPr>
        <w:t>B</w:t>
      </w:r>
      <w:r w:rsidRPr="00506777">
        <w:rPr>
          <w:rFonts w:ascii="Times New Roman" w:hAnsi="Times New Roman" w:cs="Times New Roman"/>
          <w:spacing w:val="-4"/>
          <w:sz w:val="28"/>
          <w:szCs w:val="28"/>
        </w:rPr>
        <w:t>Э</w:t>
      </w:r>
      <w:r w:rsidRPr="00B74A68">
        <w:rPr>
          <w:rFonts w:ascii="Times New Roman" w:hAnsi="Times New Roman" w:cs="Times New Roman"/>
          <w:spacing w:val="-4"/>
          <w:sz w:val="28"/>
          <w:szCs w:val="28"/>
          <w:lang w:val="en-US"/>
        </w:rPr>
        <w:t>TT</w:t>
      </w:r>
      <w:r w:rsidRPr="00881F3D">
        <w:rPr>
          <w:rFonts w:ascii="Times New Roman" w:hAnsi="Times New Roman" w:cs="Times New Roman"/>
          <w:spacing w:val="-4"/>
          <w:sz w:val="28"/>
          <w:szCs w:val="28"/>
        </w:rPr>
        <w:t xml:space="preserve"> / </w:t>
      </w:r>
      <w:r w:rsidRPr="00B74A68">
        <w:rPr>
          <w:rFonts w:ascii="Times New Roman" w:hAnsi="Times New Roman" w:cs="Times New Roman"/>
          <w:spacing w:val="-4"/>
          <w:sz w:val="28"/>
          <w:szCs w:val="28"/>
          <w:lang w:val="en-US"/>
        </w:rPr>
        <w:t>d</w:t>
      </w:r>
      <w:r w:rsidRPr="00506777">
        <w:rPr>
          <w:rFonts w:ascii="Times New Roman" w:hAnsi="Times New Roman" w:cs="Times New Roman"/>
          <w:spacing w:val="-4"/>
          <w:sz w:val="28"/>
          <w:szCs w:val="28"/>
          <w:vertAlign w:val="subscript"/>
        </w:rPr>
        <w:t>с</w:t>
      </w:r>
    </w:p>
    <w:p w14:paraId="5F00CE74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FD216A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Имея значения ЧТТ, ВЭТТ и ПВЭТТ, можно легко сравнивать эффективность колонок разных типов, разной длины, заполненных разными по природе и зернению сорбентами. Сравнивая ЧТТ двух колонок одной длины, сравнивают их эффективность. При сравнении ВЭТТ сравнивают колонки с сорбентами одинакового зернения, имеющими разную длину. Наконец, величина ПВЭТТ позволяет для двух любых колонок оценить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качество сорбента, во-первых, и качество заполнения колонок, во-вторых, независимо от длины колонок, зернения сорбента и его природы.</w:t>
      </w:r>
    </w:p>
    <w:p w14:paraId="55F7C137" w14:textId="77777777" w:rsidR="00847A4F" w:rsidRPr="00881F3D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Селективность колонки играет большую роль в достижении хромато-графического разделения. Селективность колонки α определяется отношением приведенных времен удерживания двух пиков по следующему уравнению:</w:t>
      </w:r>
    </w:p>
    <w:p w14:paraId="1CBC2F6D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743745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α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 xml:space="preserve"> = (</w:t>
      </w: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</w:rPr>
        <w:t>2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>-</w:t>
      </w: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</w:rPr>
        <w:t>0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>) / (</w:t>
      </w: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</w:rPr>
        <w:t>1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>-</w:t>
      </w:r>
      <w:r w:rsidRPr="00506777">
        <w:rPr>
          <w:rFonts w:ascii="Times New Roman" w:hAnsi="Times New Roman" w:cs="Times New Roman"/>
          <w:spacing w:val="-13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3"/>
          <w:sz w:val="28"/>
          <w:szCs w:val="28"/>
          <w:vertAlign w:val="subscript"/>
        </w:rPr>
        <w:t>0</w:t>
      </w:r>
      <w:r w:rsidRPr="00506777">
        <w:rPr>
          <w:rFonts w:ascii="Times New Roman" w:hAnsi="Times New Roman" w:cs="Times New Roman"/>
          <w:spacing w:val="-13"/>
          <w:sz w:val="28"/>
          <w:szCs w:val="28"/>
        </w:rPr>
        <w:t>)</w:t>
      </w:r>
    </w:p>
    <w:p w14:paraId="577947A1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14:paraId="62BDC52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где </w:t>
      </w:r>
      <w:r w:rsidRPr="00506777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"/>
          <w:sz w:val="28"/>
          <w:szCs w:val="28"/>
          <w:vertAlign w:val="subscript"/>
        </w:rPr>
        <w:t>0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 - время удерживания несорбируемого компонента; </w:t>
      </w:r>
      <w:r w:rsidRPr="00506777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"/>
          <w:sz w:val="28"/>
          <w:szCs w:val="28"/>
          <w:vertAlign w:val="subscript"/>
        </w:rPr>
        <w:t>1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 и </w:t>
      </w:r>
      <w:r w:rsidRPr="00506777">
        <w:rPr>
          <w:rFonts w:ascii="Times New Roman" w:hAnsi="Times New Roman" w:cs="Times New Roman"/>
          <w:spacing w:val="-1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"/>
          <w:sz w:val="28"/>
          <w:szCs w:val="28"/>
          <w:vertAlign w:val="subscript"/>
        </w:rPr>
        <w:t>2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 - времена удерживания </w:t>
      </w:r>
      <w:r w:rsidRPr="00506777">
        <w:rPr>
          <w:rFonts w:ascii="Times New Roman" w:hAnsi="Times New Roman" w:cs="Times New Roman"/>
          <w:sz w:val="28"/>
          <w:szCs w:val="28"/>
        </w:rPr>
        <w:t>компонентов 1 и 2.</w:t>
      </w:r>
    </w:p>
    <w:p w14:paraId="25423973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A2AC0B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Селективность колонки зависит от очень многих факторов, и искусство экспериментатора в большой мере определяется умением воздействовать на селективность разделения. Для этого в руках хроматографиста находятся три очень важных фактора: выбор химической природы сорбента, выбор состава растворителя и его модификаторов и учет химической структуры и свойств разделяемых компонентов. Иногда заметное влияние на селективность оказывает изменение температуры колонки, меняющее коэффициенты распределения веществ между подвижной и неподвижной фазами.</w:t>
      </w:r>
    </w:p>
    <w:p w14:paraId="13AF15D7" w14:textId="77777777" w:rsidR="00847A4F" w:rsidRPr="00881F3D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При рассмотрении разделения двух компонентов на хроматограмме и его оценке важным параметром является разрешение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506777">
        <w:rPr>
          <w:rFonts w:ascii="Times New Roman" w:hAnsi="Times New Roman" w:cs="Times New Roman"/>
          <w:sz w:val="28"/>
          <w:szCs w:val="28"/>
        </w:rPr>
        <w:t>, которое связывает времена выхода и ширину пиков обоих разделяемых компонентов (рис. 1.3):</w:t>
      </w:r>
    </w:p>
    <w:p w14:paraId="3EE585B0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468DB4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4"/>
          <w:sz w:val="28"/>
          <w:szCs w:val="28"/>
          <w:lang w:val="en-US"/>
        </w:rPr>
        <w:t>R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  <w:lang w:val="en-US"/>
        </w:rPr>
        <w:t>S</w:t>
      </w:r>
      <w:r w:rsidRPr="00506777">
        <w:rPr>
          <w:rFonts w:ascii="Times New Roman" w:hAnsi="Times New Roman" w:cs="Times New Roman"/>
          <w:spacing w:val="-14"/>
          <w:sz w:val="28"/>
          <w:szCs w:val="28"/>
        </w:rPr>
        <w:t xml:space="preserve"> = 2 (</w:t>
      </w:r>
      <w:r w:rsidRPr="00506777">
        <w:rPr>
          <w:rFonts w:ascii="Times New Roman" w:hAnsi="Times New Roman" w:cs="Times New Roman"/>
          <w:spacing w:val="-14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</w:rPr>
        <w:t>2</w:t>
      </w:r>
      <w:r w:rsidRPr="00506777">
        <w:rPr>
          <w:rFonts w:ascii="Times New Roman" w:hAnsi="Times New Roman" w:cs="Times New Roman"/>
          <w:spacing w:val="-14"/>
          <w:sz w:val="28"/>
          <w:szCs w:val="28"/>
        </w:rPr>
        <w:t xml:space="preserve">- </w:t>
      </w:r>
      <w:r w:rsidRPr="00506777">
        <w:rPr>
          <w:rFonts w:ascii="Times New Roman" w:hAnsi="Times New Roman" w:cs="Times New Roman"/>
          <w:spacing w:val="-14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  <w:lang w:val="en-US"/>
        </w:rPr>
        <w:t>R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</w:rPr>
        <w:t>1</w:t>
      </w:r>
      <w:r w:rsidRPr="00506777">
        <w:rPr>
          <w:rFonts w:ascii="Times New Roman" w:hAnsi="Times New Roman" w:cs="Times New Roman"/>
          <w:spacing w:val="-14"/>
          <w:sz w:val="28"/>
          <w:szCs w:val="28"/>
        </w:rPr>
        <w:t>) / (</w:t>
      </w:r>
      <w:r w:rsidRPr="00506777">
        <w:rPr>
          <w:rFonts w:ascii="Times New Roman" w:hAnsi="Times New Roman" w:cs="Times New Roman"/>
          <w:spacing w:val="-14"/>
          <w:sz w:val="28"/>
          <w:szCs w:val="28"/>
          <w:lang w:val="en-US"/>
        </w:rPr>
        <w:t>W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</w:rPr>
        <w:t>1</w:t>
      </w:r>
      <w:r w:rsidRPr="00506777">
        <w:rPr>
          <w:rFonts w:ascii="Times New Roman" w:hAnsi="Times New Roman" w:cs="Times New Roman"/>
          <w:spacing w:val="-14"/>
          <w:sz w:val="28"/>
          <w:szCs w:val="28"/>
        </w:rPr>
        <w:t>+</w:t>
      </w:r>
      <w:r w:rsidRPr="00506777">
        <w:rPr>
          <w:rFonts w:ascii="Times New Roman" w:hAnsi="Times New Roman" w:cs="Times New Roman"/>
          <w:spacing w:val="-14"/>
          <w:sz w:val="28"/>
          <w:szCs w:val="28"/>
          <w:lang w:val="en-US"/>
        </w:rPr>
        <w:t>W</w:t>
      </w:r>
      <w:r w:rsidRPr="00506777">
        <w:rPr>
          <w:rFonts w:ascii="Times New Roman" w:hAnsi="Times New Roman" w:cs="Times New Roman"/>
          <w:spacing w:val="-14"/>
          <w:sz w:val="28"/>
          <w:szCs w:val="28"/>
          <w:vertAlign w:val="subscript"/>
        </w:rPr>
        <w:t>2</w:t>
      </w:r>
      <w:r w:rsidRPr="00506777">
        <w:rPr>
          <w:rFonts w:ascii="Times New Roman" w:hAnsi="Times New Roman" w:cs="Times New Roman"/>
          <w:spacing w:val="-14"/>
          <w:sz w:val="28"/>
          <w:szCs w:val="28"/>
        </w:rPr>
        <w:t>)</w:t>
      </w:r>
    </w:p>
    <w:p w14:paraId="5BB6E0EB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DF8FDC" w14:textId="77777777" w:rsidR="00847A4F" w:rsidRPr="00881F3D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Разрешение как параметр, характеризующий разделение пиков, увеличивается по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мере возрастания селективности, отражаемой ростом числителя, и роста эффективности, </w:t>
      </w:r>
      <w:r w:rsidRPr="00506777">
        <w:rPr>
          <w:rFonts w:ascii="Times New Roman" w:hAnsi="Times New Roman" w:cs="Times New Roman"/>
          <w:sz w:val="28"/>
          <w:szCs w:val="28"/>
        </w:rPr>
        <w:t xml:space="preserve">отражаемой снижением значения знаменателя из-за уменьшения ширины пиков. Поэтому быстрый прогресс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 xml:space="preserve">жидкостной хроматографии привел к изменению понятия «жидкостная хроматография высокого давления» — оно было заменено на «жидкостную хроматографию высокого разрешения» (при этом сокращенная запись термина на английском языке сохранилась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HPLC</w:t>
      </w:r>
      <w:r w:rsidRPr="00506777">
        <w:rPr>
          <w:rFonts w:ascii="Times New Roman" w:hAnsi="Times New Roman" w:cs="Times New Roman"/>
          <w:sz w:val="28"/>
          <w:szCs w:val="28"/>
        </w:rPr>
        <w:t xml:space="preserve"> как наиболее правильно характеризующее направление развития современной жидкостной хроматографии). Сокращение, принятое в отечественной литературе, — ВЭЖХ, расшифровываемое как «высокоэффектиная жидкостная хроматография», для современной жидкостной хроматографии несколько менее удачно, так как не учитывается важнейший фактор разделения — селективность.</w:t>
      </w:r>
    </w:p>
    <w:p w14:paraId="489EA165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A27B8F" w14:textId="77777777" w:rsidR="00847A4F" w:rsidRPr="00506777" w:rsidRDefault="00714EEC" w:rsidP="003511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A3E7E" wp14:editId="4E6C698C">
            <wp:extent cx="2552700" cy="1143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AC496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>Рис. 1.2. Разрешение пиков и параметры удерживания</w:t>
      </w:r>
    </w:p>
    <w:p w14:paraId="07048BB5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7050BB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Важным параметром удерживания в жидкостной хроматографии является коэффициент емкости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06777">
        <w:rPr>
          <w:rFonts w:ascii="Times New Roman" w:hAnsi="Times New Roman" w:cs="Times New Roman"/>
          <w:sz w:val="28"/>
          <w:szCs w:val="28"/>
        </w:rPr>
        <w:t>’, определяемый как частное от деления массы вещества в неподвижной фазе на массу вещества в подвижной фазе:</w:t>
      </w:r>
    </w:p>
    <w:p w14:paraId="73D5F5B0" w14:textId="77777777" w:rsidR="00B74A68" w:rsidRPr="00B74A68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</w:p>
    <w:p w14:paraId="723F6662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0"/>
          <w:sz w:val="28"/>
          <w:szCs w:val="28"/>
          <w:lang w:val="en-US"/>
        </w:rPr>
        <w:t>k</w:t>
      </w:r>
      <w:r w:rsidRPr="00506777">
        <w:rPr>
          <w:rFonts w:ascii="Times New Roman" w:hAnsi="Times New Roman" w:cs="Times New Roman"/>
          <w:spacing w:val="-10"/>
          <w:sz w:val="28"/>
          <w:szCs w:val="28"/>
        </w:rPr>
        <w:t xml:space="preserve">’ = </w:t>
      </w:r>
      <w:r w:rsidRPr="00506777">
        <w:rPr>
          <w:rFonts w:ascii="Times New Roman" w:hAnsi="Times New Roman" w:cs="Times New Roman"/>
          <w:spacing w:val="-10"/>
          <w:sz w:val="28"/>
          <w:szCs w:val="28"/>
          <w:lang w:val="en-US"/>
        </w:rPr>
        <w:t>m</w:t>
      </w:r>
      <w:r w:rsidRPr="00506777">
        <w:rPr>
          <w:rFonts w:ascii="Times New Roman" w:hAnsi="Times New Roman" w:cs="Times New Roman"/>
          <w:spacing w:val="-10"/>
          <w:sz w:val="28"/>
          <w:szCs w:val="28"/>
          <w:vertAlign w:val="subscript"/>
        </w:rPr>
        <w:t>н</w:t>
      </w:r>
      <w:r w:rsidRPr="00506777">
        <w:rPr>
          <w:rFonts w:ascii="Times New Roman" w:hAnsi="Times New Roman" w:cs="Times New Roman"/>
          <w:spacing w:val="-10"/>
          <w:sz w:val="28"/>
          <w:szCs w:val="28"/>
        </w:rPr>
        <w:t xml:space="preserve"> / </w:t>
      </w:r>
      <w:r w:rsidRPr="00506777">
        <w:rPr>
          <w:rFonts w:ascii="Times New Roman" w:hAnsi="Times New Roman" w:cs="Times New Roman"/>
          <w:spacing w:val="-10"/>
          <w:sz w:val="28"/>
          <w:szCs w:val="28"/>
          <w:lang w:val="en-US"/>
        </w:rPr>
        <w:t>m</w:t>
      </w:r>
      <w:r w:rsidRPr="00506777">
        <w:rPr>
          <w:rFonts w:ascii="Times New Roman" w:hAnsi="Times New Roman" w:cs="Times New Roman"/>
          <w:spacing w:val="-10"/>
          <w:sz w:val="28"/>
          <w:szCs w:val="28"/>
          <w:vertAlign w:val="subscript"/>
        </w:rPr>
        <w:t>п</w:t>
      </w:r>
    </w:p>
    <w:p w14:paraId="0547AAC7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6F3A6F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Важное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уравнение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в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жидкостной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хроматографии,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связывающее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основные хроматографические параметры разделения следующее:</w:t>
      </w:r>
    </w:p>
    <w:p w14:paraId="2B217943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14:paraId="3E35B703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0677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RS = ј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[(a-</w:t>
      </w:r>
      <w:r w:rsidRPr="00506777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1) /a][k</w:t>
      </w:r>
      <w:r w:rsidRPr="00506777">
        <w:rPr>
          <w:rFonts w:ascii="Times New Roman" w:hAnsi="Times New Roman" w:cs="Times New Roman"/>
          <w:spacing w:val="-4"/>
          <w:sz w:val="28"/>
          <w:szCs w:val="28"/>
          <w:vertAlign w:val="subscript"/>
          <w:lang w:val="en-US"/>
        </w:rPr>
        <w:t>2</w:t>
      </w:r>
      <w:r w:rsidRPr="00506777">
        <w:rPr>
          <w:rFonts w:ascii="Times New Roman" w:hAnsi="Times New Roman" w:cs="Times New Roman"/>
          <w:spacing w:val="-4"/>
          <w:sz w:val="28"/>
          <w:szCs w:val="28"/>
          <w:lang w:val="en-US"/>
        </w:rPr>
        <w:t>’ / (1 + k</w:t>
      </w:r>
      <w:r w:rsidRPr="00506777">
        <w:rPr>
          <w:rFonts w:ascii="Times New Roman" w:hAnsi="Times New Roman" w:cs="Times New Roman"/>
          <w:spacing w:val="-4"/>
          <w:sz w:val="28"/>
          <w:szCs w:val="28"/>
          <w:vertAlign w:val="subscript"/>
          <w:lang w:val="en-US"/>
        </w:rPr>
        <w:t>2</w:t>
      </w:r>
      <w:r w:rsidRPr="00506777">
        <w:rPr>
          <w:rFonts w:ascii="Times New Roman" w:hAnsi="Times New Roman" w:cs="Times New Roman"/>
          <w:spacing w:val="-4"/>
          <w:sz w:val="28"/>
          <w:szCs w:val="28"/>
          <w:lang w:val="en-US"/>
        </w:rPr>
        <w:t>’)]VN</w:t>
      </w:r>
      <w:r w:rsidRPr="00506777">
        <w:rPr>
          <w:rFonts w:ascii="Times New Roman" w:hAnsi="Times New Roman" w:cs="Times New Roman"/>
          <w:spacing w:val="-4"/>
          <w:sz w:val="28"/>
          <w:szCs w:val="28"/>
          <w:vertAlign w:val="subscript"/>
          <w:lang w:val="en-US"/>
        </w:rPr>
        <w:t>2</w:t>
      </w:r>
    </w:p>
    <w:p w14:paraId="2DBAC65B" w14:textId="77777777" w:rsidR="00B74A68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en-US"/>
        </w:rPr>
      </w:pPr>
    </w:p>
    <w:p w14:paraId="715869D9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Разрешение, таким образом, определяется произведением трехсомножителей, первый из </w:t>
      </w:r>
      <w:r w:rsidRPr="00506777">
        <w:rPr>
          <w:rFonts w:ascii="Times New Roman" w:hAnsi="Times New Roman" w:cs="Times New Roman"/>
          <w:sz w:val="28"/>
          <w:szCs w:val="28"/>
        </w:rPr>
        <w:t xml:space="preserve">которых выражает зависимость от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селективности колонки, второй — от коэффициента емкости колонки и третий — от эффективности колонки (ЧТТ).</w:t>
      </w:r>
    </w:p>
    <w:p w14:paraId="67E18D09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Рассмотрим это важнейшее уравнение более подробно. Если, α=1, то разрешение равно 0, т.е. разделения нет независима от числа теоретических тарелок в колонке. Однако из характера функции α в уравнении видно, что небольшие изменения могут привести к заметному увеличению разрешения, особенно для тех случаев, когда значения α близки к 1. Если за счет подбора условий разделения удается изменить α с 1,1 до 1,2, это приводит к улучшению разрешения в два раза. Таким образом, на фактор селективности следует обращать основное внимание при подборе условий разделения, учитывая различие во взаимодействии разделяемых компонентов как в неподвижной, так и в подвижной фазе. В отличие от газовой хроматографии, в которой взаимодействия в подвижной (газовой) фазе незначительны и селективность системы в основном определяется только взаимодействиями веществ с неподвижной фазой, в жидкостной хроматографии подвижная (жидкая) фаза не является инертной, а может играть главную роль в процессе термодинамического распределения между неподвижной и подвижной фазами вследствие селективного взаимодействия разделяемых веществ с подвижной фазой.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Поэтому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в выборе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условий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для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высокоселективного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разделения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как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выбор</w:t>
      </w:r>
      <w:r w:rsidR="00B74A68" w:rsidRPr="00B74A68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сорбента, так и выбор растворителя играют одинаково важную роль, а искусство хроматографиста в ВЭЖХ более многогранно и требует учета большего числа взаимодействий между молекулами, чем в ГХ.</w:t>
      </w:r>
    </w:p>
    <w:p w14:paraId="52EC7EF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Второй сомножитель в уравнении принимает значение, равное 0 (при этом разрешение также равно 0, т.е. разделение отсутствует) в том случае, когда коэффициент емкости для второго компонента равен 0, т.е. оба разделяемых компонента элюируются как несорбируемые вещества (взаимодействие с неподвижной фазой отсутствует). С ростом значения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06777">
        <w:rPr>
          <w:rFonts w:ascii="Times New Roman" w:hAnsi="Times New Roman" w:cs="Times New Roman"/>
          <w:sz w:val="28"/>
          <w:szCs w:val="28"/>
        </w:rPr>
        <w:t>' разрешение увеличивается, при этом скорость анализа падает.</w:t>
      </w:r>
    </w:p>
    <w:p w14:paraId="55D09F41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Наконец, из третьего сомножителя видно, что достигаемое разрешение пропорционально корню квадратному из числа теоретических тарелок, т.е.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для увеличения разрешения вдвое нужно увеличить эффективность колонки в 4 раза (например, использовать колонку в 4 раза длиннее). Удлинение колонки в 4 раза приводит к увеличению продолжительности анализа также вчетверо, т. е. скорость анализа падает. Как правило, если эффективность колонки недостаточна, а скорость анализа является важным фактором, идут по другому пути для повышения эффективности — используют колонку с более мелким по зернению сорбентом. Однако в этом случае платой за большую эффективность при той же скорости анализа является повышение давления на колонке.</w:t>
      </w:r>
    </w:p>
    <w:p w14:paraId="3F7A574E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Следует отметить, что, хотя из уравнения и очевидно, что эффективность колонки меньше влияет на разрешение, чем ее селективность и коэффициент емкости, так как разрешение пропорционально корню квадратному из эффективности, тем не менее повышению эффективности колонок придается большое значение и уделяется огромное внимание как производителями колонок, так и их потребителями. Это связано с тем, что для сложных многокомпонентных смесей, особенно смесей неизвестного состава, часто не удается подобрать условия так, чтобы селективность была высокой для всех компонентов. В этом случае высокая эффективность колонки позволяет добиться разделения для пар веществ с небольшим значением α.</w:t>
      </w:r>
    </w:p>
    <w:p w14:paraId="53742B3E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</w:p>
    <w:p w14:paraId="2AABD68C" w14:textId="77777777" w:rsidR="00847A4F" w:rsidRPr="00506777" w:rsidRDefault="00881F3D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1.2</w:t>
      </w:r>
      <w:r w:rsidR="00847A4F"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РАЗМЫВАНИЕ В КОЛОНКЕ И ВНЕ ЕЕ</w:t>
      </w:r>
    </w:p>
    <w:p w14:paraId="1D52775A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B97DE6" w14:textId="77777777" w:rsidR="00847A4F" w:rsidRPr="00881F3D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Вещества вводятся в колонку в виде узкой зоны, которая по мере ее движения с подвижной фазой по колонке становится все шире, т. е. размывается в результате диффузионных процессов. Мерой этого размывания в колонке является высота, эквивалентная теоретической тарелке (ВЭТТ). Установлено, что размывание полосы в хроматографической колонке обусловлено тремя причинами: наличием вихревой диффузии, молекулярной диффузии и сопротивления массопередаче. Общая ВЭТТ (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 w:rsidRPr="00506777">
        <w:rPr>
          <w:rFonts w:ascii="Times New Roman" w:hAnsi="Times New Roman" w:cs="Times New Roman"/>
          <w:sz w:val="28"/>
          <w:szCs w:val="28"/>
        </w:rPr>
        <w:t xml:space="preserve">)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колонки получается путем суммирования вкладов всех этих факторов, вызывающих размывание хроматографической зоны:</w:t>
      </w:r>
    </w:p>
    <w:p w14:paraId="0A1FE854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09717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=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Hp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+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Hd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+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Hs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+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Hm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4E510627" w14:textId="77777777" w:rsidR="00B74A68" w:rsidRPr="00881F3D" w:rsidRDefault="00B74A68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5D3DF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где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Нр </w:t>
      </w:r>
      <w:r w:rsidRPr="00506777">
        <w:rPr>
          <w:rFonts w:ascii="Times New Roman" w:hAnsi="Times New Roman" w:cs="Times New Roman"/>
          <w:sz w:val="28"/>
          <w:szCs w:val="28"/>
        </w:rPr>
        <w:t xml:space="preserve">— вклад в размывание вихревой диффузии;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506777">
        <w:rPr>
          <w:rFonts w:ascii="Times New Roman" w:hAnsi="Times New Roman" w:cs="Times New Roman"/>
          <w:sz w:val="28"/>
          <w:szCs w:val="28"/>
        </w:rPr>
        <w:t xml:space="preserve">— вклад в размывание молекулярной диффузии;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Hs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 xml:space="preserve">— вклад, связанный с сопротивлением массопередаче в неподвижной фазе;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Нт </w:t>
      </w:r>
      <w:r w:rsidRPr="00506777">
        <w:rPr>
          <w:rFonts w:ascii="Times New Roman" w:hAnsi="Times New Roman" w:cs="Times New Roman"/>
          <w:sz w:val="28"/>
          <w:szCs w:val="28"/>
        </w:rPr>
        <w:t>— вклад, связанный с сопротивлением массопередаче в подвижной фазе.</w:t>
      </w:r>
    </w:p>
    <w:p w14:paraId="7E7DD359" w14:textId="77777777" w:rsidR="00351114" w:rsidRPr="00881F3D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Не вдаваясь в подробное рассмотрение этих вкладов в ВЭТТ, тем не менее следует заметить, что чем меньше каждое из четырех слагаемых, тем меньше будет и суммарное значение ВЭТТ и, следовательно, эффективнее колонка. Величина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Нр </w:t>
      </w:r>
      <w:r w:rsidRPr="00506777">
        <w:rPr>
          <w:rFonts w:ascii="Times New Roman" w:hAnsi="Times New Roman" w:cs="Times New Roman"/>
          <w:sz w:val="28"/>
          <w:szCs w:val="28"/>
        </w:rPr>
        <w:t>пропорциональна диаметру частиц сорбента и уменьшается с улучшением равномерности заполнения</w:t>
      </w:r>
    </w:p>
    <w:p w14:paraId="3C21E628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876ADD" w14:textId="77777777" w:rsidR="00847A4F" w:rsidRPr="00506777" w:rsidRDefault="00714EEC" w:rsidP="0035111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E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1A10C7" wp14:editId="730271DD">
            <wp:extent cx="1927860" cy="11582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B946D" w14:textId="77777777" w:rsidR="00351114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Рис. 1.4. Зависимость ВЭТТ от скорости подачи растворителя (V, мл/мин). </w:t>
      </w:r>
    </w:p>
    <w:p w14:paraId="5E19E20D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</w:p>
    <w:p w14:paraId="2201FF5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Вклад в размывание пика разных факторов</w:t>
      </w:r>
      <w:r w:rsidR="00351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 xml:space="preserve">колонки сорбентом. Величина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Hd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 xml:space="preserve">растет при использовании очень малых скоростей потока, при обычно используемых высоких скоростях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Hd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 xml:space="preserve">настолько мала, что ею можно пренебречь. Величина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Нm </w:t>
      </w:r>
      <w:r w:rsidRPr="00506777">
        <w:rPr>
          <w:rFonts w:ascii="Times New Roman" w:hAnsi="Times New Roman" w:cs="Times New Roman"/>
          <w:sz w:val="28"/>
          <w:szCs w:val="28"/>
        </w:rPr>
        <w:t xml:space="preserve">уменьшается при ускорении процессов адсорбции — десорбции в неподвижной фазе, т. е. при использовании частиц малого размера и тонких пленок неподвижной фазы, при уменьшении скорости потока. Величина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Нm </w:t>
      </w:r>
      <w:r w:rsidRPr="00506777">
        <w:rPr>
          <w:rFonts w:ascii="Times New Roman" w:hAnsi="Times New Roman" w:cs="Times New Roman"/>
          <w:sz w:val="28"/>
          <w:szCs w:val="28"/>
        </w:rPr>
        <w:t xml:space="preserve">уменьшается при уменьшении размера частиц (пропорционально квадрату диаметра частиц), более равномерном и плотном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заполнении колонки сорбентом, менее вязком растворителе, меньших скоростях потока.</w:t>
      </w:r>
    </w:p>
    <w:p w14:paraId="41AE692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Если изобразить графически зависимость ВЭТТ от скорости подачи растворителя, то </w:t>
      </w:r>
      <w:r w:rsidRPr="00506777">
        <w:rPr>
          <w:rFonts w:ascii="Times New Roman" w:hAnsi="Times New Roman" w:cs="Times New Roman"/>
          <w:sz w:val="28"/>
          <w:szCs w:val="28"/>
        </w:rPr>
        <w:t>она будет иметь вид, изображенный на рис.1.4. На нем можно видеть и оценить вклад каждой из составляющих в значение ВЭТТ.</w:t>
      </w:r>
    </w:p>
    <w:p w14:paraId="5B05CDBF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Таким образом, размывание в колонке уменьшается и эффективность повышается,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когда используют более мелкий сорбент, более равномерный по составу (узкая фракция), </w:t>
      </w:r>
      <w:r w:rsidRPr="00506777">
        <w:rPr>
          <w:rFonts w:ascii="Times New Roman" w:hAnsi="Times New Roman" w:cs="Times New Roman"/>
          <w:sz w:val="28"/>
          <w:szCs w:val="28"/>
        </w:rPr>
        <w:t>более плотно и равномерно упакованный в колонке, при использовании более тонких слоев привитой фазы, менее вязких растворителей и оптимальных скоростей потока.</w:t>
      </w:r>
    </w:p>
    <w:p w14:paraId="08B2EF88" w14:textId="77777777" w:rsidR="00847A4F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Однако наряду с размыванием полосы хроматографической зоны в процессе разделения в колонке может происходить также и размывание ее в устройстве для ввода пробы, в соединительных капиллярах инжектор — колонка и колонка — детектор, в ячейке детектора и в некоторых вспомогательных устройствах (микрофильтры для улавливания механических частиц из пробы, устанавливаемые после инжектора, пред-колонки, реакторы-змеевики и др.). Размывание при этом тем больше, чем больше внеколоночный объем по сравнению с удерживаемым объемом пика. Имеет также значение и то, в каком месте находится мертвый объем: чем уже хроматографическая зона, тем большее размывание даст мертвый объем. Поэтому особое внимание следует уделять конструированию той части хроматографа, где хроматографическая зона наиболее узкая (инжектор и устройства от инжектора до колонки) — здесь внеколоночное размывание наиболее опасно и сказывается наиболее сильно. Хотя считается, что в хорошо сконструированных хроматографах источники дополнительного внеколоночного размывания должны быть сведены до минимума, тем не менее каждый новый прибор, каждая переделка хроматографа должны обязательно заканчиваться тестированием на колонке и сравнением полученной хроматограммы с паспортной. Если наблюдается искажение пика, резкое снижение эффективности, следует тщательно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проинспектировать вновь введенные в систему капилляры и другие устройства.</w:t>
      </w:r>
      <w:r w:rsidR="00351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Размывание вне колонки и его неправильная оценка могут привести к значительной (более 50%) потере эффективности, особенно в тех случаях, когда относительно давно сконструированные хроматографы пытаются использовать для высокоскоростной ВЭЖХ, микроколоночной ВЭЖХ и других вариантов современной ВЭЖХ, требующих микроинжекторов, соединительных капилляров с внутренним диаметром 0,05-0,15 мм минимальной длины, колонок вместимостью 10-1000 мкл, детекторов с микрокюветами емкостью 0,03-1 мкл и с высоким быстродействием, высокоскоростных самописцев и интеграторов.</w:t>
      </w:r>
    </w:p>
    <w:p w14:paraId="539BF166" w14:textId="77777777" w:rsidR="00351114" w:rsidRP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88AA5A" w14:textId="77777777" w:rsidR="00847A4F" w:rsidRPr="00506777" w:rsidRDefault="00881F3D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1.3</w:t>
      </w:r>
      <w:r w:rsidR="00847A4F"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УДЕРЖИВАНИЕ И СИЛА РАСТВОРИТЕЛЯ</w:t>
      </w:r>
    </w:p>
    <w:p w14:paraId="35FBFF6F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F831CC5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Для того чтобы анализируемые вещества разделялись на колонке, как уже упоминалось выше, коэффициент емкости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06777">
        <w:rPr>
          <w:rFonts w:ascii="Times New Roman" w:hAnsi="Times New Roman" w:cs="Times New Roman"/>
          <w:sz w:val="28"/>
          <w:szCs w:val="28"/>
        </w:rPr>
        <w:t xml:space="preserve">' должен быть больше 0, т.е. вещества должны удерживаться неподвижной фазой, сорбентом. Однако коэффициент емкости не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должен быть и слишком большим, чтобы получить приемлемое время элюирования. Если </w:t>
      </w:r>
      <w:r w:rsidRPr="00506777">
        <w:rPr>
          <w:rFonts w:ascii="Times New Roman" w:hAnsi="Times New Roman" w:cs="Times New Roman"/>
          <w:sz w:val="28"/>
          <w:szCs w:val="28"/>
        </w:rPr>
        <w:t xml:space="preserve">для данной смеси веществ выбрана неподвижная фаза, которая их удерживает, то дальнейшая работа по разработке методики анализа заключается в выборе такого растворителя, который обеспечил бы в идеальном случае различные для всех компонентов, но приемлемо не очень большие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06777">
        <w:rPr>
          <w:rFonts w:ascii="Times New Roman" w:hAnsi="Times New Roman" w:cs="Times New Roman"/>
          <w:sz w:val="28"/>
          <w:szCs w:val="28"/>
        </w:rPr>
        <w:t>'. Этого добиваются, меняя элюирующую силу растворителя.</w:t>
      </w:r>
    </w:p>
    <w:p w14:paraId="03F36412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В случае адсорбционной хроматографии на силикагеле или оксиде алюминия, как правило, силу двухкомпонентного растворителя (например, гексана с добавкой изопропанола) увеличивают, увеличивая в нем содержание полярного компонента (изопропанола), или же уменьшают, уменьшая содержание изопропанола. Если содер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жание полярного компонента становится слишком малым (менее 0,1%), следует заменить </w:t>
      </w:r>
      <w:r w:rsidRPr="00506777">
        <w:rPr>
          <w:rFonts w:ascii="Times New Roman" w:hAnsi="Times New Roman" w:cs="Times New Roman"/>
          <w:sz w:val="28"/>
          <w:szCs w:val="28"/>
        </w:rPr>
        <w:t xml:space="preserve">его более слабым по элюирующей силе. Так же поступают, заменяя на другие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либо полярную, либо неполярную составляющую и в том случае, если данная система не обеспечивает желаемой селективности по отношению к интересующим компонентам смеси. При подборе систем растворителей принимают во внимание как растворимости компонентов смеси, так и элюотропные ряды растворителей, составленные разными авторами.</w:t>
      </w:r>
    </w:p>
    <w:p w14:paraId="2B52CA5A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Примерно так же подбирают силу растворителя в случае использования привитых полярных фаз (нитрил, амино, диол, нитро и др.), учитывая возможные химические реакции и исключая опасные для фазы растворители (например, альдегиды и кетоны для аминофазы).</w:t>
      </w:r>
    </w:p>
    <w:p w14:paraId="2229A0EF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В случае обращенно-фазной хроматографии силу растворителя увеличивают, повышая содержание в элюенте органической составляющей (метанола, ацетонитрила или ТГФ) и уменьшают, добавляя больше воды. Если не удается добиться желаемой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селективности, используют другую органическую составляющую либо пытаются изменить </w:t>
      </w:r>
      <w:r w:rsidRPr="00506777">
        <w:rPr>
          <w:rFonts w:ascii="Times New Roman" w:hAnsi="Times New Roman" w:cs="Times New Roman"/>
          <w:sz w:val="28"/>
          <w:szCs w:val="28"/>
        </w:rPr>
        <w:t>ее с помощью разных добавок (кислот, ион-парных реагентов и др.).</w:t>
      </w:r>
    </w:p>
    <w:p w14:paraId="320FBA2E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При разделениях методом ионообменной хроматографии силу растворителя меняют, увеличивая или уменьшая концентрацию буферного раствора или меняя рН, в некоторых случаях используют модификацию органическими веществами.</w:t>
      </w:r>
    </w:p>
    <w:p w14:paraId="206649E2" w14:textId="77777777" w:rsidR="00847A4F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777">
        <w:rPr>
          <w:rFonts w:ascii="Times New Roman" w:hAnsi="Times New Roman" w:cs="Times New Roman"/>
          <w:sz w:val="28"/>
          <w:szCs w:val="28"/>
        </w:rPr>
        <w:t>Однако, особенно в случае сложных природных и биологических смесей, зачастую не удается подобрать силу растворителя таким образом, чтобы все компоненты пробы элюировались за приемлемый срок. Тогда приходится прибегать к градиентному элюированию, т.е. использовать растворитель, элюирующая сила которого в процессе анализа изменяется так, что она постоянно увеличивается по заранее заданной программе. Таким приемом удается добиться элюирования всех компонентов сложных смесей за относительно короткий промежуток времени и их разделения на компоненты в виде узких пиков.</w:t>
      </w:r>
    </w:p>
    <w:p w14:paraId="0F2D2E68" w14:textId="77777777" w:rsidR="00881F3D" w:rsidRDefault="00881F3D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35A1450" w14:textId="77777777" w:rsidR="00847A4F" w:rsidRPr="00506777" w:rsidRDefault="00881F3D" w:rsidP="00881F3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1.4</w:t>
      </w:r>
      <w:r w:rsidR="00847A4F" w:rsidRPr="00506777">
        <w:rPr>
          <w:rFonts w:ascii="Times New Roman" w:hAnsi="Times New Roman" w:cs="Times New Roman"/>
          <w:spacing w:val="-2"/>
          <w:sz w:val="28"/>
          <w:szCs w:val="28"/>
        </w:rPr>
        <w:t xml:space="preserve"> РАЗМЕР ЧАСТИЦ СОРБЕНТА, ПРОНИЦАЕМОСТЬ И ЭФФЕКТИВНОСТЬ</w:t>
      </w:r>
    </w:p>
    <w:p w14:paraId="41CA144F" w14:textId="77777777" w:rsidR="00351114" w:rsidRDefault="00351114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79ECFA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Рассматривая размывание в колонке, мы указывали, что эффективность колонки (ВЭТТ) зависит от размера частиц сорбента. В большой степени бурное развитие ВЭЖХ за передние 10-12 лет было обусловлено, во-первых, разработкой способов получения сорбентов с размером частиц от 3 до 10 мкм и с узким фракционным составом, обеспечивающих высокую эффективность при хорошей проницаемости, во-вторых, разработкой способов заполнения этими сорбентами колонок и, в-третьих, разработкой и серийным выпуском жидкостных хроматографов, имеющих рассчитанные на высокие давления насосы, инжекторы и детекторы с кюветами малого объема, способные регистрировать пики малого объема.</w:t>
      </w:r>
    </w:p>
    <w:p w14:paraId="6084D0D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 xml:space="preserve">Для хорошо упакованных суспензионным способом колонок приведен-ная высота, эквивалентная теоретической тарелке (ПВЭТТ), может составлять 2 независимо от того, использовали ли для упаковки частицы с размером 3, 5, 10 или 20 мкм. В этом случае мы получим соответственно колонки (при стандартной длине их 250 мм) эффективностью 41670, 25000, 12500 и 6250 т.т. Кажется естественным выбрать наиболее эффективную колонку, заполненную частицами размером 3 мкм. Однако за эту эффективность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придется заплатить использованием при работе очень высокого давления и относительно </w:t>
      </w:r>
      <w:r w:rsidRPr="00506777">
        <w:rPr>
          <w:rFonts w:ascii="Times New Roman" w:hAnsi="Times New Roman" w:cs="Times New Roman"/>
          <w:sz w:val="28"/>
          <w:szCs w:val="28"/>
        </w:rPr>
        <w:t>невысокой скоростью разделения, так как имеющийся насос, скорее всего, будет неспособен прокачивать через такую колонку растворитель с высокой объемной скоростью. Здесь мы как раз и сталкиваемся с вопросом о связи размера частиц сорбента, эффективности и проницаемости колонок.</w:t>
      </w:r>
    </w:p>
    <w:p w14:paraId="624DA845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Уравнение, которое связывает давление, размер частиц и другие важные хроматографические параметры, имеет следующий вид:</w:t>
      </w:r>
    </w:p>
    <w:p w14:paraId="583D3947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</w:p>
    <w:p w14:paraId="3FCB4D4F" w14:textId="77777777" w:rsidR="00B74A68" w:rsidRPr="00881F3D" w:rsidRDefault="00847A4F" w:rsidP="00881F3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u</w:t>
      </w:r>
      <w:r w:rsidRPr="00881F3D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= </w:t>
      </w: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K</w:t>
      </w:r>
      <w:r w:rsidRPr="00881F3D">
        <w:rPr>
          <w:rFonts w:ascii="Times New Roman" w:hAnsi="Times New Roman" w:cs="Times New Roman"/>
          <w:i/>
          <w:iCs/>
          <w:spacing w:val="-6"/>
          <w:sz w:val="28"/>
          <w:szCs w:val="28"/>
          <w:vertAlign w:val="superscript"/>
        </w:rPr>
        <w:t>0</w:t>
      </w: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p</w:t>
      </w:r>
      <w:r w:rsidRPr="00881F3D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/ </w:t>
      </w: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ηL</w:t>
      </w:r>
      <w:r w:rsidRPr="00881F3D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= </w:t>
      </w: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pd</w:t>
      </w: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vertAlign w:val="subscript"/>
          <w:lang w:val="en-US"/>
        </w:rPr>
        <w:t>c</w:t>
      </w:r>
      <w:r w:rsidRPr="00881F3D">
        <w:rPr>
          <w:rFonts w:ascii="Times New Roman" w:hAnsi="Times New Roman" w:cs="Times New Roman"/>
          <w:i/>
          <w:iCs/>
          <w:spacing w:val="-6"/>
          <w:sz w:val="28"/>
          <w:szCs w:val="28"/>
          <w:vertAlign w:val="superscript"/>
        </w:rPr>
        <w:t>2</w:t>
      </w:r>
      <w:r w:rsidRPr="00881F3D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/ </w:t>
      </w:r>
      <w:r w:rsidRPr="00506777">
        <w:rPr>
          <w:rFonts w:ascii="Cambria Math" w:hAnsi="Cambria Math" w:cs="Times New Roman"/>
          <w:i/>
          <w:iCs/>
          <w:spacing w:val="-6"/>
          <w:sz w:val="28"/>
          <w:szCs w:val="28"/>
          <w:lang w:val="en-US"/>
        </w:rPr>
        <w:t>ϕ</w:t>
      </w:r>
      <w:r w:rsidRPr="00506777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ηL</w:t>
      </w:r>
    </w:p>
    <w:p w14:paraId="7561947B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w:r w:rsidRPr="00506777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 xml:space="preserve">— линейная скорость потока, определяемая из уравнения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o</w:t>
      </w:r>
      <w:r w:rsidRPr="00506777">
        <w:rPr>
          <w:rFonts w:ascii="Times New Roman" w:hAnsi="Times New Roman" w:cs="Times New Roman"/>
          <w:sz w:val="28"/>
          <w:szCs w:val="28"/>
        </w:rPr>
        <w:t xml:space="preserve"> =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506777">
        <w:rPr>
          <w:rFonts w:ascii="Times New Roman" w:hAnsi="Times New Roman" w:cs="Times New Roman"/>
          <w:sz w:val="28"/>
          <w:szCs w:val="28"/>
        </w:rPr>
        <w:t xml:space="preserve"> / </w:t>
      </w:r>
      <w:r w:rsidRPr="00506777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506777">
        <w:rPr>
          <w:rFonts w:ascii="Times New Roman" w:hAnsi="Times New Roman" w:cs="Times New Roman"/>
          <w:sz w:val="28"/>
          <w:szCs w:val="28"/>
        </w:rPr>
        <w:t xml:space="preserve"> ; К</w:t>
      </w:r>
      <w:r w:rsidRPr="00506777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0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 xml:space="preserve">— проницаемость колонки ; р — давление; 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η </w:t>
      </w:r>
      <w:r w:rsidRPr="00506777">
        <w:rPr>
          <w:rFonts w:ascii="Times New Roman" w:hAnsi="Times New Roman" w:cs="Times New Roman"/>
          <w:sz w:val="28"/>
          <w:szCs w:val="28"/>
        </w:rPr>
        <w:t xml:space="preserve">— вязкость; L — длина колонки ; </w:t>
      </w:r>
      <w:r w:rsidRPr="00506777">
        <w:rPr>
          <w:rFonts w:ascii="Cambria Math" w:hAnsi="Cambria Math" w:cs="Times New Roman"/>
          <w:i/>
          <w:iCs/>
          <w:sz w:val="28"/>
          <w:szCs w:val="28"/>
        </w:rPr>
        <w:t>ϕ</w:t>
      </w:r>
      <w:r w:rsidRPr="0050677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— фактор сопротивления колонки.</w:t>
      </w:r>
    </w:p>
    <w:p w14:paraId="3B8A2925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595106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Если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выразить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отсюда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фактор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сопротивления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колонки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—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безразмерную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величину, получим следующее уравнение:</w:t>
      </w:r>
    </w:p>
    <w:p w14:paraId="03863231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Cambria Math" w:hAnsi="Cambria Math" w:cs="Times New Roman"/>
          <w:i/>
          <w:iCs/>
          <w:spacing w:val="-11"/>
          <w:sz w:val="28"/>
          <w:szCs w:val="28"/>
        </w:rPr>
      </w:pPr>
    </w:p>
    <w:p w14:paraId="4E404190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Cambria Math" w:hAnsi="Cambria Math" w:cs="Times New Roman"/>
          <w:i/>
          <w:iCs/>
          <w:spacing w:val="-11"/>
          <w:sz w:val="28"/>
          <w:szCs w:val="28"/>
          <w:lang w:val="en-US"/>
        </w:rPr>
        <w:t>ϕ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</w:rPr>
        <w:t xml:space="preserve"> = 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lang w:val="en-US"/>
        </w:rPr>
        <w:t>pd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vertAlign w:val="subscript"/>
          <w:lang w:val="en-US"/>
        </w:rPr>
        <w:t>c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vertAlign w:val="superscript"/>
        </w:rPr>
        <w:t>2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lang w:val="en-US"/>
        </w:rPr>
        <w:t>t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vertAlign w:val="subscript"/>
          <w:lang w:val="en-US"/>
        </w:rPr>
        <w:t>o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</w:rPr>
        <w:t xml:space="preserve"> / 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lang w:val="en-US"/>
        </w:rPr>
        <w:t>ηL</w:t>
      </w:r>
      <w:r w:rsidRPr="00506777">
        <w:rPr>
          <w:rFonts w:ascii="Times New Roman" w:hAnsi="Times New Roman" w:cs="Times New Roman"/>
          <w:i/>
          <w:iCs/>
          <w:spacing w:val="-11"/>
          <w:sz w:val="28"/>
          <w:szCs w:val="28"/>
          <w:vertAlign w:val="superscript"/>
        </w:rPr>
        <w:t>2</w:t>
      </w:r>
    </w:p>
    <w:p w14:paraId="12202142" w14:textId="77777777" w:rsidR="00B74A68" w:rsidRPr="00881F3D" w:rsidRDefault="00B74A68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A8A2B0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Фактор сопротивления для колонок, упакованных микрочастицами одного вида по одному и тому же способу, меняется незначительно и составляет следующие значения:</w:t>
      </w:r>
    </w:p>
    <w:p w14:paraId="61761F3D" w14:textId="77777777" w:rsidR="00847A4F" w:rsidRPr="00506777" w:rsidRDefault="00847A4F" w:rsidP="00351114">
      <w:pPr>
        <w:shd w:val="clear" w:color="auto" w:fill="FFFFFF"/>
        <w:tabs>
          <w:tab w:val="left" w:pos="193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2"/>
          <w:sz w:val="28"/>
          <w:szCs w:val="28"/>
        </w:rPr>
        <w:t>Вид частиц</w:t>
      </w:r>
      <w:r w:rsidR="00351114">
        <w:rPr>
          <w:rFonts w:ascii="Times New Roman" w:hAnsi="Times New Roman" w:cs="Times New Roman"/>
          <w:sz w:val="28"/>
          <w:szCs w:val="28"/>
        </w:rPr>
        <w:tab/>
        <w:t>.</w:t>
      </w:r>
      <w:r w:rsidRPr="00506777">
        <w:rPr>
          <w:rFonts w:ascii="Times New Roman" w:hAnsi="Times New Roman" w:cs="Times New Roman"/>
          <w:sz w:val="28"/>
          <w:szCs w:val="28"/>
        </w:rPr>
        <w:t>Неправильная форма</w:t>
      </w:r>
      <w:r w:rsidR="00351114">
        <w:rPr>
          <w:rFonts w:ascii="Times New Roman" w:hAnsi="Times New Roman" w:cs="Times New Roman"/>
          <w:sz w:val="28"/>
          <w:szCs w:val="28"/>
        </w:rPr>
        <w:t xml:space="preserve"> </w:t>
      </w:r>
      <w:r w:rsidRPr="00506777">
        <w:rPr>
          <w:rFonts w:ascii="Times New Roman" w:hAnsi="Times New Roman" w:cs="Times New Roman"/>
          <w:sz w:val="28"/>
          <w:szCs w:val="28"/>
        </w:rPr>
        <w:t>Сферическая форма</w:t>
      </w:r>
    </w:p>
    <w:p w14:paraId="0B99572E" w14:textId="77777777" w:rsidR="00847A4F" w:rsidRPr="00506777" w:rsidRDefault="00847A4F" w:rsidP="00351114">
      <w:pPr>
        <w:shd w:val="clear" w:color="auto" w:fill="FFFFFF"/>
        <w:tabs>
          <w:tab w:val="left" w:pos="3264"/>
          <w:tab w:val="left" w:pos="630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2"/>
          <w:sz w:val="28"/>
          <w:szCs w:val="28"/>
        </w:rPr>
        <w:t>Сухая упаковка</w:t>
      </w:r>
      <w:r w:rsidR="0035111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506777">
        <w:rPr>
          <w:rFonts w:ascii="Times New Roman" w:hAnsi="Times New Roman" w:cs="Times New Roman"/>
          <w:spacing w:val="-3"/>
          <w:sz w:val="28"/>
          <w:szCs w:val="28"/>
        </w:rPr>
        <w:t>1000—2000</w:t>
      </w:r>
      <w:r w:rsidR="00351114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>800—1200</w:t>
      </w:r>
    </w:p>
    <w:p w14:paraId="14B24865" w14:textId="77777777" w:rsidR="00847A4F" w:rsidRPr="00506777" w:rsidRDefault="00847A4F" w:rsidP="00351114">
      <w:pPr>
        <w:shd w:val="clear" w:color="auto" w:fill="FFFFFF"/>
        <w:tabs>
          <w:tab w:val="left" w:pos="3370"/>
          <w:tab w:val="left" w:pos="634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2"/>
          <w:sz w:val="28"/>
          <w:szCs w:val="28"/>
        </w:rPr>
        <w:t>Суспензионная упаковка</w:t>
      </w:r>
      <w:r w:rsidR="00351114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Pr="00506777">
        <w:rPr>
          <w:rFonts w:ascii="Times New Roman" w:hAnsi="Times New Roman" w:cs="Times New Roman"/>
          <w:spacing w:val="-2"/>
          <w:sz w:val="28"/>
          <w:szCs w:val="28"/>
        </w:rPr>
        <w:t>700—1500</w:t>
      </w:r>
      <w:r w:rsidR="003511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>500—700</w:t>
      </w:r>
    </w:p>
    <w:p w14:paraId="16900583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Давление на входе в колонку пропорционально линейной скорости потока, фактору сопротивления колонки, вязкости растворителя и длине колонки и обратно пропорционально квадрату диаметра частиц.</w:t>
      </w:r>
    </w:p>
    <w:p w14:paraId="2E303C9F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Применив эту зависимость для вышеописанных колонок с частицами диаметром 3, 5, </w:t>
      </w:r>
      <w:r w:rsidRPr="00506777">
        <w:rPr>
          <w:rFonts w:ascii="Times New Roman" w:hAnsi="Times New Roman" w:cs="Times New Roman"/>
          <w:sz w:val="28"/>
          <w:szCs w:val="28"/>
        </w:rPr>
        <w:t xml:space="preserve">10 и 20 мкм и предположив постоянными линейную скорость потока, фактор сопротивления колонки и вязкость растворителя, получим для колонок равной длины соотношение давлений на входе 44:16:4:1. Таким образом, если для обращенно-фазного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сорбента с размером частиц 10 мкм при использовании систем растворителей метанол — </w:t>
      </w:r>
      <w:r w:rsidRPr="00506777">
        <w:rPr>
          <w:rFonts w:ascii="Times New Roman" w:hAnsi="Times New Roman" w:cs="Times New Roman"/>
          <w:sz w:val="28"/>
          <w:szCs w:val="28"/>
        </w:rPr>
        <w:t xml:space="preserve">вода (70:30) обычно на стандартной колонке при расходе растворителя 1 мл/мин давление на входе в колонку составляет 5 МПа, то для частиц 5 мкм — 20 МПа и для 3 мкм — 55 МПа. При использовании силикагеля и менее вязкой системы растворителей </w:t>
      </w:r>
      <w:r w:rsidRPr="00506777">
        <w:rPr>
          <w:rFonts w:ascii="Times New Roman" w:hAnsi="Times New Roman" w:cs="Times New Roman"/>
          <w:spacing w:val="-1"/>
          <w:sz w:val="28"/>
          <w:szCs w:val="28"/>
        </w:rPr>
        <w:t xml:space="preserve">гексан — изопропанол (100:2) значения будут существенно ниже: соответственно 1, 4 и 11 </w:t>
      </w:r>
      <w:r w:rsidRPr="00506777">
        <w:rPr>
          <w:rFonts w:ascii="Times New Roman" w:hAnsi="Times New Roman" w:cs="Times New Roman"/>
          <w:sz w:val="28"/>
          <w:szCs w:val="28"/>
        </w:rPr>
        <w:t xml:space="preserve">МПа. Если в случае обращенно-фазного сорбента применение частиц размером З мкм очень проблематично, а 5 мкм возможно, </w:t>
      </w:r>
      <w:r w:rsidRPr="00506777">
        <w:rPr>
          <w:rFonts w:ascii="Times New Roman" w:hAnsi="Times New Roman" w:cs="Times New Roman"/>
          <w:sz w:val="28"/>
          <w:szCs w:val="28"/>
        </w:rPr>
        <w:lastRenderedPageBreak/>
        <w:t>но не на всех приборах, то для нормально-фазного проблем с давлением не возникает. Следует отметить, что для современной ск</w:t>
      </w:r>
      <w:r w:rsidR="00B74A68">
        <w:rPr>
          <w:rFonts w:ascii="Times New Roman" w:hAnsi="Times New Roman" w:cs="Times New Roman"/>
          <w:sz w:val="28"/>
          <w:szCs w:val="28"/>
        </w:rPr>
        <w:t>оростной ВЭЖХ характерно исполь</w:t>
      </w:r>
      <w:r w:rsidRPr="00506777">
        <w:rPr>
          <w:rFonts w:ascii="Times New Roman" w:hAnsi="Times New Roman" w:cs="Times New Roman"/>
          <w:sz w:val="28"/>
          <w:szCs w:val="28"/>
        </w:rPr>
        <w:t>зование более высокого расхода растворителей, чем в выше</w:t>
      </w:r>
      <w:r w:rsidR="00B74A68" w:rsidRPr="00B74A68">
        <w:rPr>
          <w:rFonts w:ascii="Times New Roman" w:hAnsi="Times New Roman" w:cs="Times New Roman"/>
          <w:sz w:val="28"/>
          <w:szCs w:val="28"/>
        </w:rPr>
        <w:t xml:space="preserve"> </w:t>
      </w:r>
      <w:r w:rsidR="00B74A68">
        <w:rPr>
          <w:rFonts w:ascii="Times New Roman" w:hAnsi="Times New Roman" w:cs="Times New Roman"/>
          <w:sz w:val="28"/>
          <w:szCs w:val="28"/>
        </w:rPr>
        <w:t>рассмот</w:t>
      </w:r>
      <w:r w:rsidRPr="00506777">
        <w:rPr>
          <w:rFonts w:ascii="Times New Roman" w:hAnsi="Times New Roman" w:cs="Times New Roman"/>
          <w:sz w:val="28"/>
          <w:szCs w:val="28"/>
        </w:rPr>
        <w:t>ренном примере, поэтому требования к давлению возрастают еще больше.</w:t>
      </w:r>
    </w:p>
    <w:p w14:paraId="0B9264ED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pacing w:val="-1"/>
          <w:sz w:val="28"/>
          <w:szCs w:val="28"/>
        </w:rPr>
        <w:t>Однако в тех случаях, когда для разделения требуется определенное число теорети</w:t>
      </w:r>
      <w:r w:rsidRPr="00506777">
        <w:rPr>
          <w:rFonts w:ascii="Times New Roman" w:hAnsi="Times New Roman" w:cs="Times New Roman"/>
          <w:sz w:val="28"/>
          <w:szCs w:val="28"/>
        </w:rPr>
        <w:t>ческих тарелок и желательно осуществить скоростной анализ, картина несколько меняется. Так как длины колонок с сорбентами зернением 3, 5, 10. мкм при равной</w:t>
      </w:r>
    </w:p>
    <w:p w14:paraId="0A367E51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эффективности будут соответственно 7,5 , 12,5 и 25 см, то и соотношение давлений на входе в колонки изменится до 3,3:2:1. Соответственно продолжительность анализа на таких колонках равной эффективности будет соотноситься как 0,3:0,5:1, т. е при переходе от 10 к 5 и 3 мкм продолжительность анализа сократится в 2 и 3,3 раза. За это ускорение анализа приходится расплачиваться пропорционально более высоким давлением на входе в колонку.</w:t>
      </w:r>
    </w:p>
    <w:p w14:paraId="67988EF6" w14:textId="77777777" w:rsidR="00847A4F" w:rsidRPr="00506777" w:rsidRDefault="00847A4F" w:rsidP="00351114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777">
        <w:rPr>
          <w:rFonts w:ascii="Times New Roman" w:hAnsi="Times New Roman" w:cs="Times New Roman"/>
          <w:sz w:val="28"/>
          <w:szCs w:val="28"/>
        </w:rPr>
        <w:t>Приведенные данные справедливы для тех случаев, когда сорбенты разного зернения имеют одинаковые кривые распределения частиц по размеру, колонки набиты одинаковым способом и имеют одинаковый фактор сопротивления колонки. Следует иметь в виду, что трудность получения узких фракций сорбента возрастает по мере уменьшения размера частиц и что фракции от разных производителей имеют разный фракционный состав. Поэтому фактор сопротивления колонок будет меняться в зависимости от зернения, типа сорбента, способа упаковки колонок и др.</w:t>
      </w:r>
    </w:p>
    <w:p w14:paraId="62B173A5" w14:textId="77777777" w:rsidR="0024200B" w:rsidRDefault="0024200B" w:rsidP="00351114">
      <w:pPr>
        <w:spacing w:line="360" w:lineRule="auto"/>
        <w:ind w:firstLine="709"/>
        <w:jc w:val="both"/>
      </w:pPr>
    </w:p>
    <w:p w14:paraId="4CAE5995" w14:textId="77777777" w:rsidR="00351114" w:rsidRDefault="00351114">
      <w:pPr>
        <w:widowControl/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7AF7E65" w14:textId="77777777" w:rsidR="00CE5FD4" w:rsidRPr="00B74A68" w:rsidRDefault="00CE5FD4" w:rsidP="00881F3D">
      <w:pPr>
        <w:tabs>
          <w:tab w:val="left" w:pos="284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74A68"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14:paraId="0290DDA9" w14:textId="77777777" w:rsidR="00CE5FD4" w:rsidRPr="00B74A68" w:rsidRDefault="00CE5FD4" w:rsidP="00B74A68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A943E44" w14:textId="77777777" w:rsidR="00CE5FD4" w:rsidRPr="00B74A68" w:rsidRDefault="00CE5FD4" w:rsidP="00B74A68">
      <w:pPr>
        <w:pStyle w:val="a5"/>
        <w:numPr>
          <w:ilvl w:val="0"/>
          <w:numId w:val="2"/>
        </w:numPr>
        <w:shd w:val="clear" w:color="auto" w:fill="FFFFFF"/>
        <w:tabs>
          <w:tab w:val="left" w:pos="216"/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74A68">
        <w:rPr>
          <w:rFonts w:ascii="Times New Roman" w:hAnsi="Times New Roman" w:cs="Times New Roman"/>
          <w:iCs/>
          <w:sz w:val="28"/>
          <w:szCs w:val="28"/>
        </w:rPr>
        <w:t xml:space="preserve">Цвет М. </w:t>
      </w:r>
      <w:r w:rsidRPr="00B74A68">
        <w:rPr>
          <w:rFonts w:ascii="Times New Roman" w:hAnsi="Times New Roman" w:cs="Times New Roman"/>
          <w:sz w:val="28"/>
          <w:szCs w:val="28"/>
        </w:rPr>
        <w:t>С.//Труды Варшавского общества</w:t>
      </w:r>
      <w:r w:rsidR="00351114" w:rsidRPr="00B74A68">
        <w:rPr>
          <w:rFonts w:ascii="Times New Roman" w:hAnsi="Times New Roman" w:cs="Times New Roman"/>
          <w:sz w:val="28"/>
          <w:szCs w:val="28"/>
        </w:rPr>
        <w:t xml:space="preserve"> </w:t>
      </w:r>
      <w:r w:rsidRPr="00B74A68">
        <w:rPr>
          <w:rFonts w:ascii="Times New Roman" w:hAnsi="Times New Roman" w:cs="Times New Roman"/>
          <w:sz w:val="28"/>
          <w:szCs w:val="28"/>
        </w:rPr>
        <w:t>естествоиспытателей, отд.</w:t>
      </w:r>
    </w:p>
    <w:p w14:paraId="74256E13" w14:textId="77777777" w:rsidR="00CE5FD4" w:rsidRPr="00B74A68" w:rsidRDefault="00CE5FD4" w:rsidP="00B74A68">
      <w:pPr>
        <w:pStyle w:val="a5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B74A68">
        <w:rPr>
          <w:rFonts w:ascii="Times New Roman" w:hAnsi="Times New Roman" w:cs="Times New Roman"/>
          <w:sz w:val="28"/>
          <w:szCs w:val="28"/>
        </w:rPr>
        <w:t>биологии</w:t>
      </w:r>
      <w:r w:rsidRPr="00B74A68">
        <w:rPr>
          <w:rFonts w:ascii="Times New Roman" w:hAnsi="Times New Roman" w:cs="Times New Roman"/>
          <w:sz w:val="28"/>
          <w:szCs w:val="28"/>
          <w:lang w:val="en-US"/>
        </w:rPr>
        <w:t xml:space="preserve">, 1903, </w:t>
      </w:r>
      <w:r w:rsidRPr="00B74A68">
        <w:rPr>
          <w:rFonts w:ascii="Times New Roman" w:hAnsi="Times New Roman" w:cs="Times New Roman"/>
          <w:sz w:val="28"/>
          <w:szCs w:val="28"/>
        </w:rPr>
        <w:t>т</w:t>
      </w:r>
      <w:r w:rsidRPr="00B74A68">
        <w:rPr>
          <w:rFonts w:ascii="Times New Roman" w:hAnsi="Times New Roman" w:cs="Times New Roman"/>
          <w:sz w:val="28"/>
          <w:szCs w:val="28"/>
          <w:lang w:val="en-US"/>
        </w:rPr>
        <w:t xml:space="preserve">. 14, </w:t>
      </w:r>
      <w:r w:rsidRPr="00B74A68">
        <w:rPr>
          <w:rFonts w:ascii="Times New Roman" w:hAnsi="Times New Roman" w:cs="Times New Roman"/>
          <w:sz w:val="28"/>
          <w:szCs w:val="28"/>
        </w:rPr>
        <w:t>с</w:t>
      </w:r>
      <w:r w:rsidRPr="00B74A68">
        <w:rPr>
          <w:rFonts w:ascii="Times New Roman" w:hAnsi="Times New Roman" w:cs="Times New Roman"/>
          <w:sz w:val="28"/>
          <w:szCs w:val="28"/>
          <w:lang w:val="en-US"/>
        </w:rPr>
        <w:t xml:space="preserve">. 20—32. 2 </w:t>
      </w:r>
      <w:r w:rsidRPr="00B74A68">
        <w:rPr>
          <w:rFonts w:ascii="Times New Roman" w:hAnsi="Times New Roman" w:cs="Times New Roman"/>
          <w:iCs/>
          <w:sz w:val="28"/>
          <w:szCs w:val="28"/>
          <w:lang w:val="en-US"/>
        </w:rPr>
        <w:t>Snyder L</w:t>
      </w:r>
      <w:r w:rsidR="00351114" w:rsidRPr="00B74A6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B74A68">
        <w:rPr>
          <w:rFonts w:ascii="Times New Roman" w:hAnsi="Times New Roman" w:cs="Times New Roman"/>
          <w:iCs/>
          <w:sz w:val="28"/>
          <w:szCs w:val="28"/>
        </w:rPr>
        <w:t>К</w:t>
      </w:r>
      <w:r w:rsidR="00351114" w:rsidRPr="00B74A6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B74A6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Kirkland J. J. </w:t>
      </w:r>
      <w:r w:rsidRPr="00B74A68">
        <w:rPr>
          <w:rFonts w:ascii="Times New Roman" w:hAnsi="Times New Roman" w:cs="Times New Roman"/>
          <w:sz w:val="28"/>
          <w:szCs w:val="28"/>
          <w:lang w:val="en-US"/>
        </w:rPr>
        <w:t>Introduction to Modern Liquid Chromato-graphy. 2-nd edition. J. Wiley, N. Y., 1979. 863 p.</w:t>
      </w:r>
    </w:p>
    <w:p w14:paraId="5AFCC8A6" w14:textId="77777777" w:rsidR="00CE5FD4" w:rsidRPr="00B74A68" w:rsidRDefault="00CE5FD4" w:rsidP="00B74A68">
      <w:pPr>
        <w:pStyle w:val="a5"/>
        <w:numPr>
          <w:ilvl w:val="0"/>
          <w:numId w:val="2"/>
        </w:numPr>
        <w:shd w:val="clear" w:color="auto" w:fill="FFFFFF"/>
        <w:tabs>
          <w:tab w:val="left" w:pos="216"/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B74A6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Parris N. A. </w:t>
      </w:r>
      <w:r w:rsidRPr="00B74A68">
        <w:rPr>
          <w:rFonts w:ascii="Times New Roman" w:hAnsi="Times New Roman" w:cs="Times New Roman"/>
          <w:sz w:val="28"/>
          <w:szCs w:val="28"/>
          <w:lang w:val="en-US"/>
        </w:rPr>
        <w:t>Instrumental Liquid Chromatography. 2-nd ed. Elsevier, Oxford, 1984. 270 p.</w:t>
      </w:r>
    </w:p>
    <w:p w14:paraId="2EAA7FAB" w14:textId="77777777" w:rsidR="00CE5FD4" w:rsidRPr="00B74A68" w:rsidRDefault="00CE5FD4" w:rsidP="00B74A68">
      <w:pPr>
        <w:pStyle w:val="a5"/>
        <w:numPr>
          <w:ilvl w:val="0"/>
          <w:numId w:val="2"/>
        </w:numPr>
        <w:shd w:val="clear" w:color="auto" w:fill="FFFFFF"/>
        <w:tabs>
          <w:tab w:val="left" w:pos="216"/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pacing w:val="-5"/>
          <w:sz w:val="28"/>
          <w:szCs w:val="28"/>
          <w:lang w:val="en-US"/>
        </w:rPr>
      </w:pPr>
      <w:r w:rsidRPr="00B74A6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Bristow P. A. </w:t>
      </w:r>
      <w:r w:rsidRPr="00B74A68">
        <w:rPr>
          <w:rFonts w:ascii="Times New Roman" w:hAnsi="Times New Roman" w:cs="Times New Roman"/>
          <w:sz w:val="28"/>
          <w:szCs w:val="28"/>
          <w:lang w:val="en-US"/>
        </w:rPr>
        <w:t>LC in Practice, hetp, Handforth, 1976. 267 p.</w:t>
      </w:r>
    </w:p>
    <w:p w14:paraId="5DF08428" w14:textId="77777777" w:rsidR="00CE5FD4" w:rsidRPr="00B74A68" w:rsidRDefault="00CE5FD4" w:rsidP="00B74A68">
      <w:pPr>
        <w:pStyle w:val="a5"/>
        <w:numPr>
          <w:ilvl w:val="0"/>
          <w:numId w:val="2"/>
        </w:numPr>
        <w:shd w:val="clear" w:color="auto" w:fill="FFFFFF"/>
        <w:tabs>
          <w:tab w:val="left" w:pos="216"/>
          <w:tab w:val="left" w:pos="284"/>
        </w:tabs>
        <w:spacing w:line="360" w:lineRule="auto"/>
        <w:ind w:left="0" w:firstLine="0"/>
        <w:rPr>
          <w:rFonts w:ascii="Times New Roman" w:hAnsi="Times New Roman" w:cs="Times New Roman"/>
          <w:spacing w:val="-5"/>
          <w:sz w:val="28"/>
          <w:szCs w:val="28"/>
        </w:rPr>
      </w:pPr>
      <w:r w:rsidRPr="00B74A68">
        <w:rPr>
          <w:rFonts w:ascii="Times New Roman" w:hAnsi="Times New Roman" w:cs="Times New Roman"/>
          <w:iCs/>
          <w:sz w:val="28"/>
          <w:szCs w:val="28"/>
        </w:rPr>
        <w:t xml:space="preserve">Киселев А. В., Яшин Я- И. </w:t>
      </w:r>
      <w:r w:rsidRPr="00B74A68">
        <w:rPr>
          <w:rFonts w:ascii="Times New Roman" w:hAnsi="Times New Roman" w:cs="Times New Roman"/>
          <w:sz w:val="28"/>
          <w:szCs w:val="28"/>
        </w:rPr>
        <w:t>Адсорбц</w:t>
      </w:r>
      <w:r w:rsidR="00B74A68">
        <w:rPr>
          <w:rFonts w:ascii="Times New Roman" w:hAnsi="Times New Roman" w:cs="Times New Roman"/>
          <w:sz w:val="28"/>
          <w:szCs w:val="28"/>
        </w:rPr>
        <w:t>ионная газовая и жидкостная хро</w:t>
      </w:r>
      <w:r w:rsidRPr="00B74A68">
        <w:rPr>
          <w:rFonts w:ascii="Times New Roman" w:hAnsi="Times New Roman" w:cs="Times New Roman"/>
          <w:sz w:val="28"/>
          <w:szCs w:val="28"/>
        </w:rPr>
        <w:t>матография. М., Химия, 1979. 288 с.</w:t>
      </w:r>
    </w:p>
    <w:sectPr w:rsidR="00CE5FD4" w:rsidRPr="00B74A68" w:rsidSect="003511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B093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9B20F4"/>
    <w:multiLevelType w:val="singleLevel"/>
    <w:tmpl w:val="FFFFFFFF"/>
    <w:lvl w:ilvl="0">
      <w:start w:val="3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num w:numId="1" w16cid:durableId="786310256">
    <w:abstractNumId w:val="1"/>
  </w:num>
  <w:num w:numId="2" w16cid:durableId="36406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A6"/>
    <w:rsid w:val="0024200B"/>
    <w:rsid w:val="003461BD"/>
    <w:rsid w:val="00351114"/>
    <w:rsid w:val="003B0771"/>
    <w:rsid w:val="00403D16"/>
    <w:rsid w:val="00506777"/>
    <w:rsid w:val="00714EEC"/>
    <w:rsid w:val="00847A4F"/>
    <w:rsid w:val="00881F3D"/>
    <w:rsid w:val="008D7020"/>
    <w:rsid w:val="009F5CB0"/>
    <w:rsid w:val="00AB3DC4"/>
    <w:rsid w:val="00AC2DA6"/>
    <w:rsid w:val="00B53010"/>
    <w:rsid w:val="00B74A68"/>
    <w:rsid w:val="00CE5FD4"/>
    <w:rsid w:val="00D05B0D"/>
    <w:rsid w:val="00E4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07CCC"/>
  <w14:defaultImageDpi w14:val="0"/>
  <w15:docId w15:val="{6A492315-43A2-4FEF-ACB6-30379E85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A4F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A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47A4F"/>
    <w:rPr>
      <w:rFonts w:ascii="Tahoma" w:eastAsiaTheme="minorEastAsia" w:hAnsi="Tahoma" w:cs="Tahoma"/>
      <w:sz w:val="16"/>
      <w:szCs w:val="16"/>
      <w:lang w:val="x-none" w:eastAsia="ru-RU"/>
    </w:rPr>
  </w:style>
  <w:style w:type="paragraph" w:styleId="a5">
    <w:name w:val="List Paragraph"/>
    <w:basedOn w:val="a"/>
    <w:uiPriority w:val="34"/>
    <w:qFormat/>
    <w:rsid w:val="00B74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3361</Words>
  <Characters>19158</Characters>
  <Application>Microsoft Office Word</Application>
  <DocSecurity>0</DocSecurity>
  <Lines>159</Lines>
  <Paragraphs>44</Paragraphs>
  <ScaleCrop>false</ScaleCrop>
  <Company>PSPU</Company>
  <LinksUpToDate>false</LinksUpToDate>
  <CharactersWithSpaces>22475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Solovev</dc:creator>
  <cp:keywords/>
  <dc:description/>
  <cp:lastModifiedBy>Пользователь</cp:lastModifiedBy>
  <cp:revision>2</cp:revision>
  <dcterms:created xsi:type="dcterms:W3CDTF">2025-12-12T07:28:00Z</dcterms:created>
  <dcterms:modified xsi:type="dcterms:W3CDTF">2025-12-12T07:28:00Z</dcterms:modified>
</cp:coreProperties>
</file>