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FBE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238384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7011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Современные представления о нефти и нефтепродуктах основываются на положениях, разработанных П.А. Ребиндером в середине ХХ в. , согласно которым нефтяные системы находятся в структурированном коллоидно-дисперсном состоянии. Позднее З.И. Сюняев и его последователи ввели понятия «нефтяных дисперсных систем» и «сложных структурных единиц», которые позволяют описывать поведение нефтяных систем, как сложных коллоидных объектов , к которым, например, относят эмульсии на основе твердых термопластичных продуктов переработки нефти, в частности, нефтяных парафинов.</w:t>
      </w:r>
    </w:p>
    <w:p w14:paraId="7149C7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Парафиновые эмульсии представляют собой дисперсные системы типа «масло в воде», при этом вода является дисперсионной средой, а частицы парафина представлены в виде сложно-структурных единиц дисперсной фазы. В качестве «парафина» можно использовать все получаемые в процессе переработки нефтяные воски, такие как парафин, церезин, гачи депарафинизации, петролатумы и их смеси . Поскольку нефтяной воск не смешивается с водой и является несмачиваемым веществом, процесс приготовления восковых эмульсии является достаточно трудоемким и требует применения специальных стабилизирующих агентов (эмульгаторов). В качестве эмульгаторов используют катионные, анионные и неионогенные поверхностно-активные вещества, общее количество которых в составе эмульсии обычно не превышает 10% масс. . Восковые эмульсии могут также содержать добавки специального назначения 0,5-2% масс. . Например, восковые эмульсии, используемые для полирования и покрытия бумаги, часто содержат синтетические полимеры, такие как полистирол, поливинилхлорид или полиэтилен для придания повышенной гладкости и блеска поверхности .</w:t>
      </w:r>
    </w:p>
    <w:p w14:paraId="3673AB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Восковые эмульсии - это продукты, применение которых позволяет </w:t>
      </w:r>
      <w:r>
        <w:rPr>
          <w:rFonts w:ascii="Times New Roman CYR" w:hAnsi="Times New Roman CYR" w:cs="Times New Roman CYR"/>
          <w:kern w:val="0"/>
          <w:sz w:val="28"/>
          <w:szCs w:val="28"/>
        </w:rPr>
        <w:lastRenderedPageBreak/>
        <w:t>создать превосходные защитные свойства материала простым экономичным способом. Легкость нанесения эмульсии без необходимости использования тепла и процессов плавления приводит к расширению спектра их применения в промышленности и в быту.</w:t>
      </w:r>
    </w:p>
    <w:p w14:paraId="0E83B1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 восковые эмульсии используются для пропитки бумаги и картона, придания водонепроницаемости древесно-стружечным материалам, придания водонепроницаемости волокнам тканей, при создании защитных покрытий полов, кузовов автомобилей и мебели, а также при покрытии фруктов и овощей .</w:t>
      </w:r>
    </w:p>
    <w:p w14:paraId="6D447E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 основным преимуществам восковых эмульсий по сравнению с традиционно используемыми восками, разогретыми до высоких температур, следует отнести значительно более эффективную гидрофобизацию благодаря высокой степени дисперсности (размер твердых частиц воска около 1 микрона); более простой и эффективный способ применения; отсутствие расходов по хранению (температура хранения парафиновой эмульсии 5-30°С, а расплавленного воска - около 80°С); отсутствие расходов по транспортировке (в случае эмульсии нет необходимости обогревать трубопроводы); пожаробезопасность (отсутствие вероятности возникновения пожара и травматизма работников, которые могут иметь место при работе с расплавленными восками). </w:t>
      </w:r>
    </w:p>
    <w:p w14:paraId="77C57F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Создание эффективной технологии производства эмульсии невозможно без учета основных свойств нефтяных восков, особенно при оптимизации технологического режима приготовления и подбора компонентного состава композиции. Использование универсального метода приготовления позволит не только вовлекать воски различного состава, но и создавать готовые к применению восковые массы с возможностью получать эмульсии с заранее планируемыми характеристиками.</w:t>
      </w:r>
    </w:p>
    <w:p w14:paraId="6EBADB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Большое практическое значение может также иметь приготовление </w:t>
      </w:r>
      <w:r>
        <w:rPr>
          <w:rFonts w:ascii="Times New Roman CYR" w:hAnsi="Times New Roman CYR" w:cs="Times New Roman CYR"/>
          <w:kern w:val="0"/>
          <w:sz w:val="28"/>
          <w:szCs w:val="28"/>
        </w:rPr>
        <w:lastRenderedPageBreak/>
        <w:t>готовых смесей эмульгаторов и добавок, позволяющих улучшать как основные показатели эмульсии, так и придавать специальные свойства, учитывающие специфику области применения.</w:t>
      </w:r>
    </w:p>
    <w:p w14:paraId="118A50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Дальнейшее развитие технологий получения и улучшение свойств восковых эмульсий, востребованных рынком в настоящий момент и в перспективе, определяет актуальность и необходимость исследований в данном направлении.</w:t>
      </w:r>
    </w:p>
    <w:p w14:paraId="02315C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36"/>
          <w:sz w:val="28"/>
          <w:szCs w:val="28"/>
        </w:rPr>
      </w:pPr>
    </w:p>
    <w:p w14:paraId="3AAD0806"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36"/>
          <w:sz w:val="28"/>
          <w:szCs w:val="28"/>
        </w:rPr>
      </w:pPr>
      <w:r>
        <w:rPr>
          <w:rFonts w:ascii="Times New Roman CYR" w:hAnsi="Times New Roman CYR" w:cs="Times New Roman CYR"/>
          <w:b/>
          <w:bCs/>
          <w:kern w:val="0"/>
          <w:sz w:val="22"/>
          <w:szCs w:val="22"/>
        </w:rPr>
        <w:br w:type="page"/>
      </w:r>
    </w:p>
    <w:p w14:paraId="1B19A2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36"/>
          <w:sz w:val="28"/>
          <w:szCs w:val="28"/>
        </w:rPr>
      </w:pPr>
      <w:r>
        <w:rPr>
          <w:rFonts w:ascii="Times New Roman CYR" w:hAnsi="Times New Roman CYR" w:cs="Times New Roman CYR"/>
          <w:kern w:val="36"/>
          <w:sz w:val="28"/>
          <w:szCs w:val="28"/>
        </w:rPr>
        <w:t>Физико-химические основы процессов приготовления восковых эмульсий</w:t>
      </w:r>
    </w:p>
    <w:p w14:paraId="418C39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7E81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Одним из рациональных способов применения нефтяных восков, позволяющих эффективно использовать их эксплуатационные свойства, является производство восковых эмульсий. Восковые эмульсии - это термодинамически нестабильные системы, которые имеют тенденцию к разрушению. Поэтому для приготовления устойчивых эмульсий с заданным размером частиц необходимо использовать стабилизирующие агенты, представляющие собой поверхностно-активные вещества, полимеры и твердые частицы . В последние годы растет интерес к восковым эмульсиям с размером частиц близких к нанометрам, такие эмульсии часто называют нано-эмульсиями , миниэмульсиями или субмикро-эмульсиями . Благодаря такому размеру частиц, нано-эмульсии обладают длительной во времени физической стабильностью и свойствами, значительно лучшими в сравнении с обычными эмульсиями.</w:t>
      </w:r>
    </w:p>
    <w:p w14:paraId="7F3C1A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поисках оптимального состава и технологии приготовления стабильной восковой эмульсии с использованием минимального количества эмульгатора были проведены многочисленные исследования. Используемые способы эмульгирования восков, можно разделить на высокоэнергетические и низкоэнергетические . Низкоэнергетические способы имеют преимущество с точки зрения низких затрат на производство и использования малогабаритного оборудования.</w:t>
      </w:r>
    </w:p>
    <w:p w14:paraId="3FCB76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Наибольшее распространение получил метод инверсии фаз, при котором эмульсии обычно получаются самопроизвольно с использованием незначительного принудительного перемешивания. Существует две его разновидности: метод температуры инверсии фаз (PIT метод и метод точки инверсии. Оба метода являются характерными примерами низкоэнергетических </w:t>
      </w:r>
      <w:r>
        <w:rPr>
          <w:rFonts w:ascii="Times New Roman CYR" w:hAnsi="Times New Roman CYR" w:cs="Times New Roman CYR"/>
          <w:kern w:val="0"/>
          <w:sz w:val="28"/>
          <w:szCs w:val="28"/>
        </w:rPr>
        <w:lastRenderedPageBreak/>
        <w:t>методов, позволяющих получать восковые нано-эмульсии с размером частиц 300-500 нм. В тоже время низкоэнергетические методы имеют существенный недостаток, поскольку эмульсии производятся в небольших количествах и, прежде всего, с целью теоретических исследований процессов приготовления эмульсий и изучения свойств.</w:t>
      </w:r>
    </w:p>
    <w:p w14:paraId="7B9EAE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промышленности для получения восковых эмульсий используют высокоэнергетические способы, включающие интенсивное диспергирование с использованием механического гомогенизирования или ультразвукового воздействия. Высокоэнергетические способы позволяют получать восковые эмульсии, стабильные в течение длительного времени и с заданным размером частиц дисперсной фазы, однако требуют большего расхода электроэнергии и достаточно громоздкого оборудования.</w:t>
      </w:r>
    </w:p>
    <w:p w14:paraId="119672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использование определенного способа производства восковых эмульсий обусловлено целью дальнейшего использования эмульсий: низкоэнергетические способы - для лабораторных исследований эмульсий, высокоэнергетические - в промышленном производстве. При любом из указанных способов существует три основных метода приготовления восковых эмульсий:</w:t>
      </w:r>
    </w:p>
    <w:p w14:paraId="53A9D5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диспергирование воды в воске (метод «вода в воск»);</w:t>
      </w:r>
    </w:p>
    <w:p w14:paraId="356C5C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диспергирование воска в воде (метод «воск в воду»);</w:t>
      </w:r>
    </w:p>
    <w:p w14:paraId="19331D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эмульгирование под высоким давлением.</w:t>
      </w:r>
    </w:p>
    <w:p w14:paraId="58F5AB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«Вода в воск» включает в себя добавление предварительно нагретой воды в нефтяной воск, содержащий эмульгаторы и соответствующие добавки, и их интенсивное перемешивание. При добавлении определенного количества воды, происходит инверсия фаз и эмульсия «вода в воске» переходит в эмульсию «воск в воде». Метод требует применение воска с низкой температурой плавления и относительно низкой вязкостью.</w:t>
      </w:r>
    </w:p>
    <w:p w14:paraId="63C67D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Метод «воск в воду» чаще всего включает в себя предварительное </w:t>
      </w:r>
      <w:r>
        <w:rPr>
          <w:rFonts w:ascii="Times New Roman CYR" w:hAnsi="Times New Roman CYR" w:cs="Times New Roman CYR"/>
          <w:kern w:val="0"/>
          <w:sz w:val="28"/>
          <w:szCs w:val="28"/>
        </w:rPr>
        <w:lastRenderedPageBreak/>
        <w:t>плавление нефтяного воска с добавлением одного эмульгатора, и последующее введение полученной смеси в нагретую воду, содержащую другой эмульгатор и добавки при интенсивном перемешивании.</w:t>
      </w:r>
    </w:p>
    <w:p w14:paraId="50C6D0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Существует два метода эмульгирования под высоким давлением: прямой и косвенный. Прямой метод используется для создания эмульсий с применением неионных поверхностно-активных веществ. Метод заключается в смешивании в гомогенизаторе нефтяных восков, эмульгаторов и добавок и воды при температуре на 10°C выше температуры плавления воска и при давлении до 200атм. Затем эмульсию быстро охлаждают при атмосферном давлении, с использованием эффективного внешнего теплообменника.</w:t>
      </w:r>
    </w:p>
    <w:p w14:paraId="763611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Косвенный метод используется для всех типов эмульсий, в частности, для эмульсий с использованием анионных и катионных поверхностно-активных веществ. Метод заключается в формировании начальной эмульсии («пре-эмульсии» ), содержащей воск, поверхностно-активные вещества и добавки, и часть воды. Оставшееся количество воды подается в виде незначительных количеств при температуре чуть менее 100°C. Это приводит к инверсии эмульсии «вода в воске» в эмульсию «воск в воде». Затем эмульсию быстро охлаждают при атмосферном давлении.</w:t>
      </w:r>
    </w:p>
    <w:p w14:paraId="1353E9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с применением высокого давления используют для формирования частиц дисперсной фазы размером менее 1 мкм. Указанный размер частиц позволяет использовать меньшее количество эмульгаторов [1- 4,5% масс.]. В США практически все восковые эмульсии производят с применением метода высокого давления, часто с повышением давления в несколько ступеней.</w:t>
      </w:r>
    </w:p>
    <w:p w14:paraId="1523BD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процесс приготовления восковой эмульсии, имеющей определенные постоянные свойства, такие как узкое распределение частиц по размерам, стабильность при хранении, транспортировке и применении, можно представить в виде последовательности следующих стадий:</w:t>
      </w:r>
    </w:p>
    <w:p w14:paraId="172042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смешение требуемых количеств воды, нефтяного воска, </w:t>
      </w:r>
      <w:r>
        <w:rPr>
          <w:rFonts w:ascii="Times New Roman CYR" w:hAnsi="Times New Roman CYR" w:cs="Times New Roman CYR"/>
          <w:kern w:val="0"/>
          <w:sz w:val="28"/>
          <w:szCs w:val="28"/>
        </w:rPr>
        <w:lastRenderedPageBreak/>
        <w:t>эмульгаторов и добавок при определенной температуре и в заданной последовательности;</w:t>
      </w:r>
    </w:p>
    <w:p w14:paraId="4BAE8F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интенсивное перемешивание с использованием механического гомогенизатора или путем ультразвукового воздействия;</w:t>
      </w:r>
    </w:p>
    <w:p w14:paraId="02CF9E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3)</w:t>
      </w:r>
      <w:r>
        <w:rPr>
          <w:rFonts w:ascii="Times New Roman CYR" w:hAnsi="Times New Roman CYR" w:cs="Times New Roman CYR"/>
          <w:kern w:val="0"/>
          <w:sz w:val="28"/>
          <w:szCs w:val="28"/>
          <w:lang w:val="en-US"/>
        </w:rPr>
        <w:tab/>
        <w:t>быстрое охлаждение полученной эмульсии.</w:t>
      </w:r>
    </w:p>
    <w:p w14:paraId="7202D4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Непрерывность процесса достигается путем включения в схему дополнительной емкости смешения компонентов, работающей последовательно, и организацией рецикла. Число стадий, требуемых для проведения процесса, определяется как механизмом образования эмульсии, так и ее компонентным составом.</w:t>
      </w:r>
    </w:p>
    <w:p w14:paraId="7191AD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C701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36"/>
          <w:sz w:val="28"/>
          <w:szCs w:val="28"/>
        </w:rPr>
      </w:pPr>
      <w:r>
        <w:rPr>
          <w:rFonts w:ascii="Times New Roman CYR" w:hAnsi="Times New Roman CYR" w:cs="Times New Roman CYR"/>
          <w:kern w:val="36"/>
          <w:sz w:val="28"/>
          <w:szCs w:val="28"/>
        </w:rPr>
        <w:t>Механизм образования восковых эмульсий</w:t>
      </w:r>
    </w:p>
    <w:p w14:paraId="799430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51979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Механизм образования восковых эмульсий (эмульсий типа «масло в воде»), достаточно хорошо изучен и базируется на теории межфазного поверхностного натяжения и ориентационной теории . Термин «эмульсия» используется, поскольку частицы дисперсной фазы (нефтяного воска) при приготовлении композиции (на стадии эмульгирования) находятся в жидком состоянии. Частицы воска начинают кристаллизоваться при охлаждении и полностью затвердевают при комнатной температуре, образуя дисперсию твердых структурированных частиц воска в воде. Таким образом, механизм образования восковых эмульсий включает стадии эмульгирования и охлаждения смеси.</w:t>
      </w:r>
    </w:p>
    <w:p w14:paraId="7D62C9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Можно условно выделить следующие этапы на стадии эмульгирования:</w:t>
      </w:r>
    </w:p>
    <w:p w14:paraId="51D527AB"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2"/>
          <w:szCs w:val="22"/>
        </w:rPr>
        <w:t>-</w:t>
      </w:r>
      <w:r>
        <w:rPr>
          <w:rFonts w:ascii="Times New Roman CYR" w:hAnsi="Times New Roman CYR" w:cs="Times New Roman CYR"/>
          <w:kern w:val="0"/>
          <w:sz w:val="22"/>
          <w:szCs w:val="22"/>
        </w:rPr>
        <w:tab/>
      </w:r>
      <w:r>
        <w:rPr>
          <w:rFonts w:ascii="Times New Roman CYR" w:hAnsi="Times New Roman CYR" w:cs="Times New Roman CYR"/>
          <w:kern w:val="0"/>
          <w:sz w:val="28"/>
          <w:szCs w:val="28"/>
        </w:rPr>
        <w:t>дробление жидкого воска на отдельные капли (вытягивание растягивание капли воска в цилиндр, распад капли на более мелкие, одновременно протекают процессы коалесценции образующихся капель);</w:t>
      </w:r>
    </w:p>
    <w:p w14:paraId="795FAE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2"/>
          <w:szCs w:val="22"/>
        </w:rPr>
        <w:t>-</w:t>
      </w:r>
      <w:r>
        <w:rPr>
          <w:rFonts w:ascii="Times New Roman CYR" w:hAnsi="Times New Roman CYR" w:cs="Times New Roman CYR"/>
          <w:kern w:val="0"/>
          <w:sz w:val="22"/>
          <w:szCs w:val="22"/>
        </w:rPr>
        <w:tab/>
      </w:r>
      <w:r>
        <w:rPr>
          <w:rFonts w:ascii="Times New Roman CYR" w:hAnsi="Times New Roman CYR" w:cs="Times New Roman CYR"/>
          <w:kern w:val="0"/>
          <w:sz w:val="28"/>
          <w:szCs w:val="28"/>
        </w:rPr>
        <w:t>укрупнение капель воска в результате их слияния;</w:t>
      </w:r>
    </w:p>
    <w:p w14:paraId="66ACB3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2"/>
          <w:szCs w:val="22"/>
        </w:rPr>
        <w:lastRenderedPageBreak/>
        <w:t>-</w:t>
      </w:r>
      <w:r>
        <w:rPr>
          <w:rFonts w:ascii="Times New Roman CYR" w:hAnsi="Times New Roman CYR" w:cs="Times New Roman CYR"/>
          <w:kern w:val="0"/>
          <w:sz w:val="22"/>
          <w:szCs w:val="22"/>
        </w:rPr>
        <w:tab/>
      </w:r>
      <w:r>
        <w:rPr>
          <w:rFonts w:ascii="Times New Roman CYR" w:hAnsi="Times New Roman CYR" w:cs="Times New Roman CYR"/>
          <w:kern w:val="0"/>
          <w:sz w:val="28"/>
          <w:szCs w:val="28"/>
        </w:rPr>
        <w:t>стабилизация капель воска определенного размера;</w:t>
      </w:r>
    </w:p>
    <w:p w14:paraId="0A5BFA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2"/>
          <w:szCs w:val="22"/>
        </w:rPr>
        <w:t>-</w:t>
      </w:r>
      <w:r>
        <w:rPr>
          <w:rFonts w:ascii="Times New Roman CYR" w:hAnsi="Times New Roman CYR" w:cs="Times New Roman CYR"/>
          <w:kern w:val="0"/>
          <w:sz w:val="22"/>
          <w:szCs w:val="22"/>
        </w:rPr>
        <w:tab/>
      </w:r>
      <w:r>
        <w:rPr>
          <w:rFonts w:ascii="Times New Roman CYR" w:hAnsi="Times New Roman CYR" w:cs="Times New Roman CYR"/>
          <w:kern w:val="0"/>
          <w:sz w:val="28"/>
          <w:szCs w:val="28"/>
        </w:rPr>
        <w:t>старение эмульсии (флокуляция и коалесценция частиц дисперсной фазы).</w:t>
      </w:r>
    </w:p>
    <w:p w14:paraId="05AA3D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процессе эмульгирования воска в воде образуются одновременно эмульсии двух типов: «масло в воде» и «вода в масле». Исследуя подобные явления в эмульсиях, авторы отмечают, что в отсутствии эмульгатора оба типа эмульсий неустойчивы и распадаются на две фазы - полярную (воду) и неполярную (нефтяной воск). Поэтому образующиеся на стадии эмульгирования частицы воска стабилизируют путем введения специальных эмульгаторов, концентрирующихся на границе раздела фаз и снижающих поверхностное натяжение. На поверхности капли воска формируется адсорбционно-гидратный слой, который играет решающую роль в стабилизации системы. Защитный слой имеет определенную структуру и обладает прочностью на сдвиг, представляя собой так называемый «структурно-механический барьер».</w:t>
      </w:r>
    </w:p>
    <w:p w14:paraId="6EFE1B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результате адсорбции эмульгатора снижается поверхностное натяжение, что с термодинамической точки зрения благоприятствует процессу эмульгирования, поскольку при этом снижается величина свободной поверхностной энергии системы. Другим определяющим фактором образования стабильной восковой эмульсии является формирование адсорбционно-сольватного слоя на поверхности частиц дисперсной фазы, а использование соответствующего эмульгатора определяет его структуру и прочность.</w:t>
      </w:r>
    </w:p>
    <w:p w14:paraId="25615D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Образовавшуюся на стадии эмульгирования восковую эмульсию направляют на завершающий этап приготовления - охлаждение. На этой стадии происходит стабилизация размера и формы частиц дисперсной фазы. Поскольку нефтяные воски представляют собой многокомпонентную смесь, состоящую в основном из парафиновых углеводородов, большое значение имеет их </w:t>
      </w:r>
      <w:r>
        <w:rPr>
          <w:rFonts w:ascii="Times New Roman CYR" w:hAnsi="Times New Roman CYR" w:cs="Times New Roman CYR"/>
          <w:kern w:val="0"/>
          <w:sz w:val="28"/>
          <w:szCs w:val="28"/>
        </w:rPr>
        <w:lastRenderedPageBreak/>
        <w:t>кристаллическая структура, которая в значительной мере определяется скоростью охлаждения эмульсии восковых частиц в воде. При увеличении скорости охлаждения (например, при использовании бани со льдом) происходит образование большого количествах кристаллов парафинов значительно меньшего размера, по сравнению с охлаждением эмульсии при комнатной температуре. Быстрое охлаждение снижает скорость процессов коагуляции частиц дисперсной фазы, предотвращая их слияние, что может привести не только к укрупнению частиц воска, но и к потере стабильности.</w:t>
      </w:r>
    </w:p>
    <w:p w14:paraId="234EC6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образование устойчивых восковых эмульсий зависит как от явлений, протекающих на поверхности раздела фаз, в частности на поверхности капель воска, так и от типа используемого воска и эмульгатора, то есть от компонентного состава эмульсии.</w:t>
      </w:r>
    </w:p>
    <w:p w14:paraId="2014E7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0FE2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36"/>
          <w:sz w:val="28"/>
          <w:szCs w:val="28"/>
        </w:rPr>
      </w:pPr>
      <w:r>
        <w:rPr>
          <w:rFonts w:ascii="Times New Roman CYR" w:hAnsi="Times New Roman CYR" w:cs="Times New Roman CYR"/>
          <w:kern w:val="36"/>
          <w:sz w:val="28"/>
          <w:szCs w:val="28"/>
        </w:rPr>
        <w:t>Компонентный состав восковых эмульсий</w:t>
      </w:r>
    </w:p>
    <w:p w14:paraId="456C55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81C5E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Восковые эмульсии представляет собой многокомпонентную нефтяную дисперсную систему, которая включает следующие элементы:</w:t>
      </w:r>
    </w:p>
    <w:p w14:paraId="23528933"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2"/>
          <w:szCs w:val="22"/>
        </w:rPr>
        <w:t>-</w:t>
      </w:r>
      <w:r>
        <w:rPr>
          <w:rFonts w:ascii="Times New Roman CYR" w:hAnsi="Times New Roman CYR" w:cs="Times New Roman CYR"/>
          <w:kern w:val="0"/>
          <w:sz w:val="22"/>
          <w:szCs w:val="22"/>
        </w:rPr>
        <w:tab/>
      </w:r>
      <w:r>
        <w:rPr>
          <w:rFonts w:ascii="Times New Roman CYR" w:hAnsi="Times New Roman CYR" w:cs="Times New Roman CYR"/>
          <w:kern w:val="0"/>
          <w:sz w:val="28"/>
          <w:szCs w:val="28"/>
        </w:rPr>
        <w:t>дисперсионная среда - вода (в лабораторных условиях используют дистиллированную и деионизированную воду, в целях моделирования промышленного производства применяют неочищенную воду, содержащую различные соли и примеси);</w:t>
      </w:r>
    </w:p>
    <w:p w14:paraId="306632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2"/>
          <w:szCs w:val="22"/>
        </w:rPr>
        <w:t>-</w:t>
      </w:r>
      <w:r>
        <w:rPr>
          <w:rFonts w:ascii="Times New Roman CYR" w:hAnsi="Times New Roman CYR" w:cs="Times New Roman CYR"/>
          <w:kern w:val="0"/>
          <w:sz w:val="22"/>
          <w:szCs w:val="22"/>
        </w:rPr>
        <w:tab/>
      </w:r>
      <w:r>
        <w:rPr>
          <w:rFonts w:ascii="Times New Roman CYR" w:hAnsi="Times New Roman CYR" w:cs="Times New Roman CYR"/>
          <w:kern w:val="0"/>
          <w:sz w:val="28"/>
          <w:szCs w:val="28"/>
        </w:rPr>
        <w:t>дисперсная фаза - нефтяной воск (используют нефтяные воски различного состава и свойств или их смеси в зависимости от требований, предъявляемых к качеству эмульсий);</w:t>
      </w:r>
    </w:p>
    <w:p w14:paraId="5B9E1C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2"/>
          <w:szCs w:val="22"/>
        </w:rPr>
        <w:t>-</w:t>
      </w:r>
      <w:r>
        <w:rPr>
          <w:rFonts w:ascii="Times New Roman CYR" w:hAnsi="Times New Roman CYR" w:cs="Times New Roman CYR"/>
          <w:kern w:val="0"/>
          <w:sz w:val="22"/>
          <w:szCs w:val="22"/>
        </w:rPr>
        <w:tab/>
      </w:r>
      <w:r>
        <w:rPr>
          <w:rFonts w:ascii="Times New Roman CYR" w:hAnsi="Times New Roman CYR" w:cs="Times New Roman CYR"/>
          <w:kern w:val="0"/>
          <w:sz w:val="28"/>
          <w:szCs w:val="28"/>
        </w:rPr>
        <w:t>эмульгатор (используют поверхностно-активные вещества в виде индивидуальных компонентов или смеси);</w:t>
      </w:r>
    </w:p>
    <w:p w14:paraId="5BBAB4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2"/>
          <w:szCs w:val="22"/>
        </w:rPr>
        <w:t>-</w:t>
      </w:r>
      <w:r>
        <w:rPr>
          <w:rFonts w:ascii="Times New Roman CYR" w:hAnsi="Times New Roman CYR" w:cs="Times New Roman CYR"/>
          <w:kern w:val="0"/>
          <w:sz w:val="22"/>
          <w:szCs w:val="22"/>
        </w:rPr>
        <w:tab/>
      </w:r>
      <w:r>
        <w:rPr>
          <w:rFonts w:ascii="Times New Roman CYR" w:hAnsi="Times New Roman CYR" w:cs="Times New Roman CYR"/>
          <w:kern w:val="0"/>
          <w:sz w:val="28"/>
          <w:szCs w:val="28"/>
        </w:rPr>
        <w:t xml:space="preserve">добавки специального назначения (вводят добавки, улучшающие стабильность восковых эмульсий к разбавлению и циклам «замораживание - </w:t>
      </w:r>
      <w:r>
        <w:rPr>
          <w:rFonts w:ascii="Times New Roman CYR" w:hAnsi="Times New Roman CYR" w:cs="Times New Roman CYR"/>
          <w:kern w:val="0"/>
          <w:sz w:val="28"/>
          <w:szCs w:val="28"/>
        </w:rPr>
        <w:lastRenderedPageBreak/>
        <w:t>оттаивание», антиоксиданты и др.).</w:t>
      </w:r>
    </w:p>
    <w:p w14:paraId="24B7ED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2AA1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36"/>
          <w:sz w:val="28"/>
          <w:szCs w:val="28"/>
        </w:rPr>
      </w:pPr>
      <w:r>
        <w:rPr>
          <w:rFonts w:ascii="Times New Roman CYR" w:hAnsi="Times New Roman CYR" w:cs="Times New Roman CYR"/>
          <w:kern w:val="36"/>
          <w:sz w:val="28"/>
          <w:szCs w:val="28"/>
        </w:rPr>
        <w:t>Нефтяной воск - основной компонент дисперсной фазы восковых эмульсий</w:t>
      </w:r>
    </w:p>
    <w:p w14:paraId="61853E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BD58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Различные нефтяные воски (парафины, гачи депарафинизации, петролатумы и их смеси) представляют собой основные компоненты восковых (парафиновых) эмульсии. Нефтяные воски состоят в основном из нормальных парафиновых и изопарафиновых углеводородов, которые определяют основные свойства эмульсии - обеспечение защиты материалов от воздействия влаги и других атмосферных и микробиологических агентов. Нефтяные воски могут содержать от 16 до 40 углеродных атомов в молекуле, т.е. в производстве восковых эмульсий можно использовать как средние и тяжелые нефтяные воски, также и микрокристаллические воски, содержащие большее число углеродных атомов в молекуле.</w:t>
      </w:r>
    </w:p>
    <w:p w14:paraId="2E0859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Гидрофобность восков напрямую связана с содержанием нормальных парафинов. Присутствие изопарафинов, циклопарафинов или алкилароматических углеводородов снижает гидрофобизирующее действие воска. Поэтому высокоочищенные парафины, содержащие главным образом нормальные прямоцепочечные алканы, предпочтительны для получения относительно высокой степени гидрофобности. Также установлено, что такие высокоочищенные парафины обладают свойством «ломкости». Известно, что высокопарафинистые углеводороды труднее эмульгируются в водно-восковые эмульсии, чем разветвленные или циклические углеводороды. И более склонны к разрушению структуры под действием силы (или напряжения сдвига), создаваемой перемешивающим устройством. Указанную склонность к разрушению под механическим воздействием связывают с составом углеводородной фазы, дисперсные фазы большого молекулярного веса с </w:t>
      </w:r>
      <w:r>
        <w:rPr>
          <w:rFonts w:ascii="Times New Roman CYR" w:hAnsi="Times New Roman CYR" w:cs="Times New Roman CYR"/>
          <w:kern w:val="0"/>
          <w:sz w:val="28"/>
          <w:szCs w:val="28"/>
        </w:rPr>
        <w:lastRenderedPageBreak/>
        <w:t>высоким содержанием парафинов обладают меньшей способностью сопротивляться разрушению от механического воздействия. Этот недостаток можно снизить введением петролатума в смесь восков в таком соотношении, чтобы используемый воск имел температуру плавления 45-55°С . При этом более низкая температура плавления не обеспечивает необходимых водоотталкивающих свойств, а использование восков с более высокой температурой плавления осложняет процесс эмульгирования. Желательно также использовать воск с низким содержанием масла [0,5-1,0 % масс.], поскольку более высокое содержание может приводить к значительному пенообразованию</w:t>
      </w:r>
    </w:p>
    <w:p w14:paraId="1169FD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Дисперсная фаза восковой эмульсии помимо нефтяных восков может также содержать синтетические, такие как высокомолекулярные полиолефины и воски Фишера-Тропша.</w:t>
      </w:r>
    </w:p>
    <w:p w14:paraId="2A1D54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нефтяной воск является основным компонентом дисперсной фазы восковой эмульсии, его количество обычно составляет не менее 85% масс. и поэтому именно его характеристикам уделяется основное внимание при подборе эмульгатора для образования стабильной эмульсии.</w:t>
      </w:r>
    </w:p>
    <w:p w14:paraId="42352E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581A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36"/>
          <w:sz w:val="28"/>
          <w:szCs w:val="28"/>
        </w:rPr>
      </w:pPr>
      <w:r>
        <w:rPr>
          <w:rFonts w:ascii="Times New Roman CYR" w:hAnsi="Times New Roman CYR" w:cs="Times New Roman CYR"/>
          <w:kern w:val="36"/>
          <w:sz w:val="28"/>
          <w:szCs w:val="28"/>
        </w:rPr>
        <w:t>Эмульгаторы, участвующие в процессах стабилизации системы «нефтяной воск / вода»</w:t>
      </w:r>
    </w:p>
    <w:p w14:paraId="080F50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7DA4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Восковые эмульсии представляют собой нестабильные коллоидно-дисперсные системы, склонные к разрушению путем расслоения, образования осадка или твердой корки на поверхности. Поэтому для образования устойчивой восковой эмульсии и сохранения ее свойств во времени, необходимо использовать эмульгаторы, в частности, поверхностно-активные вещества.</w:t>
      </w:r>
    </w:p>
    <w:p w14:paraId="452D4B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производстве восковых эмульсий в качестве эмульгаторов используют анионные, катионные и неионогенные поверхностно-активные </w:t>
      </w:r>
      <w:r>
        <w:rPr>
          <w:rFonts w:ascii="Times New Roman CYR" w:hAnsi="Times New Roman CYR" w:cs="Times New Roman CYR"/>
          <w:kern w:val="0"/>
          <w:sz w:val="28"/>
          <w:szCs w:val="28"/>
        </w:rPr>
        <w:lastRenderedPageBreak/>
        <w:t>вещества, а также их смеси.</w:t>
      </w:r>
    </w:p>
    <w:p w14:paraId="75C3BA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Анионные ПАВ - это дифильные органические соединения, которые, диссоциируя в воде, образуют анион с длинным углеводородным радикалом носителем поверхностной активности, катион при этом не является поверхностно-активным. К числу основных анионных поверхностно-активных веществ относятся:</w:t>
      </w:r>
    </w:p>
    <w:p w14:paraId="70DD0F1B"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мыла RCOONa, RCOOK;</w:t>
      </w:r>
    </w:p>
    <w:p w14:paraId="6B9968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алкилсульфаты и алкилфосфаты;</w:t>
      </w:r>
    </w:p>
    <w:p w14:paraId="7751CE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алкиларилсульфонаты (чаще всего алкилбензолсульфонаты):</w:t>
      </w:r>
    </w:p>
    <w:p w14:paraId="186719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алкилсульфонаты и алкилфосфонаты;</w:t>
      </w:r>
    </w:p>
    <w:p w14:paraId="4653FC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алкилсульфосукцинаты</w:t>
      </w:r>
    </w:p>
    <w:p w14:paraId="1EFA1B27"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7BF06E1F" w14:textId="3E5A6BC9" w:rsidR="00000000" w:rsidRDefault="00B77559">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5799013" wp14:editId="7D479635">
            <wp:extent cx="2842260" cy="1097280"/>
            <wp:effectExtent l="0" t="0" r="0" b="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42260" cy="1097280"/>
                    </a:xfrm>
                    <a:prstGeom prst="rect">
                      <a:avLst/>
                    </a:prstGeom>
                    <a:noFill/>
                    <a:ln>
                      <a:noFill/>
                    </a:ln>
                  </pic:spPr>
                </pic:pic>
              </a:graphicData>
            </a:graphic>
          </wp:inline>
        </w:drawing>
      </w:r>
    </w:p>
    <w:p w14:paraId="51BD9B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1615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алкилэтоксисульфаты и алкилэтоксифосфаты</w:t>
      </w:r>
    </w:p>
    <w:p w14:paraId="54361D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0E4247" w14:textId="4410E3C1" w:rsidR="00000000" w:rsidRDefault="00B77559">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399055D" wp14:editId="73880411">
            <wp:extent cx="5029200" cy="632460"/>
            <wp:effectExtent l="0" t="0" r="0" b="0"/>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29200" cy="632460"/>
                    </a:xfrm>
                    <a:prstGeom prst="rect">
                      <a:avLst/>
                    </a:prstGeom>
                    <a:noFill/>
                    <a:ln>
                      <a:noFill/>
                    </a:ln>
                  </pic:spPr>
                </pic:pic>
              </a:graphicData>
            </a:graphic>
          </wp:inline>
        </w:drawing>
      </w:r>
    </w:p>
    <w:p w14:paraId="2D115F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8C9D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производстве восковых эмульсий среди анионных эмульгаторов наибольшее распространение нашли алкилсульфоновые, алкилбензолсульфоновые и оксиалкилированные жирные кислоты и их соли , в частности натриевая соль олеиновой кислоты и лаурилсульфат натрия , а также натривая соль лигносульфоновой кислоты, имеющая торговое название </w:t>
      </w:r>
      <w:r>
        <w:rPr>
          <w:rFonts w:ascii="Times New Roman CYR" w:hAnsi="Times New Roman CYR" w:cs="Times New Roman CYR"/>
          <w:kern w:val="0"/>
          <w:sz w:val="28"/>
          <w:szCs w:val="28"/>
          <w:lang w:val="en-US"/>
        </w:rPr>
        <w:t>POLYPON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xml:space="preserve"> .</w:t>
      </w:r>
    </w:p>
    <w:p w14:paraId="43714E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Катионные ПАВ - это дифильные органические соединения, которые, диссоциируя в воде, образуют развитый поверхностно-активный катион; анион при этом не является поверхностно-активным. К ним относятся:</w:t>
      </w:r>
    </w:p>
    <w:p w14:paraId="6CD090AC" w14:textId="77777777" w:rsidR="00000000" w:rsidRDefault="00000000">
      <w:pPr>
        <w:widowControl w:val="0"/>
        <w:tabs>
          <w:tab w:val="left" w:pos="99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алифатические и ароматические первичные, вторичные и третичные амины и их соли;</w:t>
      </w:r>
    </w:p>
    <w:p w14:paraId="184B1A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четвертичные аммонийные соли, в том числе соли пиридиновых оснований;</w:t>
      </w:r>
    </w:p>
    <w:p w14:paraId="1444C9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оксиды третичных аминов.</w:t>
      </w:r>
    </w:p>
    <w:p w14:paraId="2DE625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Катионные эмульгаторы, используемые в производстве восковых эмульсий, в основном представлены соединениями алканоламинов, </w:t>
      </w:r>
      <w:r>
        <w:rPr>
          <w:rFonts w:ascii="Times New Roman CYR" w:hAnsi="Times New Roman CYR" w:cs="Times New Roman CYR"/>
          <w:kern w:val="0"/>
          <w:sz w:val="28"/>
          <w:szCs w:val="28"/>
        </w:rPr>
        <w:lastRenderedPageBreak/>
        <w:t>алкиламинов, полиоксиалкиламинов и амидов, образующихся при взаимодействии аминов с жирными кислотами высокой молекулярной массы, а также аминсодержащих соединений, имеющих структурную группу</w:t>
      </w:r>
    </w:p>
    <w:p w14:paraId="712EFB28"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32662C9C" w14:textId="311E71FC" w:rsidR="00000000" w:rsidRDefault="00B77559">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06FA02C" wp14:editId="0B39527E">
            <wp:extent cx="975360" cy="1112520"/>
            <wp:effectExtent l="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5360" cy="1112520"/>
                    </a:xfrm>
                    <a:prstGeom prst="rect">
                      <a:avLst/>
                    </a:prstGeom>
                    <a:noFill/>
                    <a:ln>
                      <a:noFill/>
                    </a:ln>
                  </pic:spPr>
                </pic:pic>
              </a:graphicData>
            </a:graphic>
          </wp:inline>
        </w:drawing>
      </w:r>
    </w:p>
    <w:p w14:paraId="14CA38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CF60D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 замещающие группы -</w:t>
      </w:r>
      <w:r>
        <w:rPr>
          <w:rFonts w:ascii="Times New Roman CYR" w:hAnsi="Times New Roman CYR" w:cs="Times New Roman CYR"/>
          <w:kern w:val="0"/>
          <w:sz w:val="28"/>
          <w:szCs w:val="28"/>
          <w:lang w:val="en-US"/>
        </w:rPr>
        <w:t>NH</w:t>
      </w:r>
      <w:r>
        <w:rPr>
          <w:rFonts w:ascii="Times New Roman CYR" w:hAnsi="Times New Roman CYR" w:cs="Times New Roman CYR"/>
          <w:kern w:val="0"/>
          <w:sz w:val="28"/>
          <w:szCs w:val="28"/>
        </w:rPr>
        <w:t>2, -</w:t>
      </w:r>
      <w:r>
        <w:rPr>
          <w:rFonts w:ascii="Times New Roman CYR" w:hAnsi="Times New Roman CYR" w:cs="Times New Roman CYR"/>
          <w:kern w:val="0"/>
          <w:sz w:val="28"/>
          <w:szCs w:val="28"/>
          <w:lang w:val="en-US"/>
        </w:rPr>
        <w:t>NHCH</w:t>
      </w:r>
      <w:r>
        <w:rPr>
          <w:rFonts w:ascii="Times New Roman CYR" w:hAnsi="Times New Roman CYR" w:cs="Times New Roman CYR"/>
          <w:kern w:val="0"/>
          <w:sz w:val="28"/>
          <w:szCs w:val="28"/>
        </w:rPr>
        <w:t>3, -</w:t>
      </w:r>
      <w:r>
        <w:rPr>
          <w:rFonts w:ascii="Times New Roman CYR" w:hAnsi="Times New Roman CYR" w:cs="Times New Roman CYR"/>
          <w:kern w:val="0"/>
          <w:sz w:val="28"/>
          <w:szCs w:val="28"/>
          <w:lang w:val="en-US"/>
        </w:rPr>
        <w:t>NHC</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5, -</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3.</w:t>
      </w:r>
    </w:p>
    <w:p w14:paraId="76624D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Отмечается, что для приготовления термически стабильной эмульсии в качестве эмульгатора использовали соли поликарбоновых кислот в смеси с воскорастворимыми алифатическими аминами. Указанная комбинация эмульгирующего агента может быть получена в момент приготовления или может быть приготовлена предварительно.</w:t>
      </w:r>
    </w:p>
    <w:p w14:paraId="3439AA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Поликарбоновые кислоты, используемые в приготовлении эмульсии, достаточно многообразны и обычно это лимонная, винная, яблочная, сахарная и их водорастворимые производные. Содержание кислоты должно быть от 1 до 10% от массы воска, и, предпочтительно, ее предварительно растворить в воде, в которой воск будет эмульгирован.</w:t>
      </w:r>
    </w:p>
    <w:p w14:paraId="235470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Алифатический воскорастворимый амин может быть первичным, вторичным или третичным и содержать от 16 до 36 атомов углерода. Амин должен содержать, по крайней мере, одну воскорастворимую группу, в частности алкильную группу с не менее чем 18-ти углеродными атомами. Среди первичных алкиламинов в производстве эмульсий используют гексадециламин, октадециламин; вторичные амины представлены метилгептадециламин и его гомологами, а третичные амины - диметилоктадециламином или метилдигексадециламином. Обычно содержание аминов не превышает 10% от массы воска.</w:t>
      </w:r>
    </w:p>
    <w:p w14:paraId="796AFD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Количественно соотношение амина и кислоты должно быть таким, чтобы несколько свободных поликарбоновых кислот всегда присутствовало в </w:t>
      </w:r>
      <w:r>
        <w:rPr>
          <w:rFonts w:ascii="Times New Roman CYR" w:hAnsi="Times New Roman CYR" w:cs="Times New Roman CYR"/>
          <w:kern w:val="0"/>
          <w:sz w:val="28"/>
          <w:szCs w:val="28"/>
        </w:rPr>
        <w:lastRenderedPageBreak/>
        <w:t>эмульсии, поэтому необходимо приготовить эмульсию так, чтобы на 1 аминогруппу приходилось 4 карбоксильных группы.</w:t>
      </w:r>
    </w:p>
    <w:p w14:paraId="1883CF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Неиоиогенные ПАВ - растворимые как в кислой, так и в щелочной среде соединения, не диссоциирующие в воде. К ним относятся:</w:t>
      </w:r>
    </w:p>
    <w:p w14:paraId="13CEB0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оксиалкилированные первичные и вторичные жирные спирты;</w:t>
      </w:r>
    </w:p>
    <w:p w14:paraId="7B602E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полиэтиленгликолевые эфиры;</w:t>
      </w:r>
    </w:p>
    <w:p w14:paraId="33D9B3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оксиалкилированные алкилфенолы;</w:t>
      </w:r>
    </w:p>
    <w:p w14:paraId="41D170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плюроники;</w:t>
      </w:r>
    </w:p>
    <w:p w14:paraId="1AC41E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глицериды, глюкозиды, сахариды и т.п.</w:t>
      </w:r>
    </w:p>
    <w:p w14:paraId="70D9B4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Они обычно обладают низкой пенообразуюшей способностью. Возможность регулирования их свойств путем варьирования числа оксиалкильных звеньев, наряду с низкой себестоимостью, предопределяет их широкое применение в производстве восковых эмульсий.</w:t>
      </w:r>
    </w:p>
    <w:p w14:paraId="6ADC60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Дифильность таких ПАВ обусловлена наличием в их молекулах функциональных групп, которые проявляют лишь способность сольватироваться или гидратироваться, но не диссоциируют в водных растворах. Гидрофильными группами в неионогенных ПАВ могут быть:</w:t>
      </w:r>
    </w:p>
    <w:p w14:paraId="237F9C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этиленоксидная (-ОСН2СН2),</w:t>
      </w:r>
    </w:p>
    <w:p w14:paraId="719DCE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этаноламинная</w:t>
      </w:r>
    </w:p>
    <w:p w14:paraId="4E1A6C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6BE1AD0" w14:textId="1FC2F526" w:rsidR="00000000" w:rsidRDefault="00B77559">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560743A" wp14:editId="35628632">
            <wp:extent cx="2194560" cy="754380"/>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4560" cy="754380"/>
                    </a:xfrm>
                    <a:prstGeom prst="rect">
                      <a:avLst/>
                    </a:prstGeom>
                    <a:noFill/>
                    <a:ln>
                      <a:noFill/>
                    </a:ln>
                  </pic:spPr>
                </pic:pic>
              </a:graphicData>
            </a:graphic>
          </wp:inline>
        </w:drawing>
      </w:r>
    </w:p>
    <w:p w14:paraId="26178484" w14:textId="77777777" w:rsidR="00000000" w:rsidRDefault="00000000">
      <w:pPr>
        <w:widowControl w:val="0"/>
        <w:autoSpaceDE w:val="0"/>
        <w:autoSpaceDN w:val="0"/>
        <w:adjustRightInd w:val="0"/>
        <w:spacing w:after="0" w:line="360" w:lineRule="auto"/>
        <w:ind w:left="709"/>
        <w:jc w:val="both"/>
        <w:rPr>
          <w:rFonts w:ascii="Times New Roman CYR" w:hAnsi="Times New Roman CYR" w:cs="Times New Roman CYR"/>
          <w:kern w:val="0"/>
          <w:sz w:val="28"/>
          <w:szCs w:val="28"/>
        </w:rPr>
      </w:pPr>
    </w:p>
    <w:p w14:paraId="6F4385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диэтаноламинная</w:t>
      </w:r>
    </w:p>
    <w:p w14:paraId="0C63BA9D" w14:textId="77777777" w:rsidR="00000000" w:rsidRDefault="00000000">
      <w:pPr>
        <w:widowControl w:val="0"/>
        <w:autoSpaceDE w:val="0"/>
        <w:autoSpaceDN w:val="0"/>
        <w:adjustRightInd w:val="0"/>
        <w:spacing w:after="0" w:line="360" w:lineRule="auto"/>
        <w:ind w:left="709"/>
        <w:jc w:val="both"/>
        <w:rPr>
          <w:rFonts w:ascii="Times New Roman CYR" w:hAnsi="Times New Roman CYR" w:cs="Times New Roman CYR"/>
          <w:kern w:val="0"/>
          <w:sz w:val="28"/>
          <w:szCs w:val="28"/>
        </w:rPr>
      </w:pPr>
    </w:p>
    <w:p w14:paraId="68FADC18" w14:textId="38B08BF7" w:rsidR="00000000" w:rsidRDefault="00B77559">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7057B068" wp14:editId="32F9EAC6">
            <wp:extent cx="2240280" cy="815340"/>
            <wp:effectExtent l="0" t="0" r="0"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0280" cy="815340"/>
                    </a:xfrm>
                    <a:prstGeom prst="rect">
                      <a:avLst/>
                    </a:prstGeom>
                    <a:noFill/>
                    <a:ln>
                      <a:noFill/>
                    </a:ln>
                  </pic:spPr>
                </pic:pic>
              </a:graphicData>
            </a:graphic>
          </wp:inline>
        </w:drawing>
      </w:r>
    </w:p>
    <w:p w14:paraId="7ADA74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9AEDF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 другие.</w:t>
      </w:r>
    </w:p>
    <w:p w14:paraId="34D3BC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Гидрофобными являются углеводородные цепи (неразветвленные и разветвленные) с числом метиленовых групп от 10 до 20.</w:t>
      </w:r>
    </w:p>
    <w:p w14:paraId="39EFD7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Было установлено, что соли первичных и вторичных диалканоламинов алифатических монокарбоновых кислот могут быть использованы в приготовлении стабильных восковых эмульсий.</w:t>
      </w:r>
    </w:p>
    <w:p w14:paraId="412244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Наиболее подходящие алканоламины представляют собой моно- и диалканоламины, имеющие 1-8 углеродных атомов, преимущественно от 2 до 4 атомов углерода в алканольной группе. Соль алканоламина и кислоты может быть приготовлена при эмульгировании или перед введением расплавленного воска, но предпочтителен первый вариант. Алканоламин присутствует в стехиометрическом отношении к кислоте. Восковые эмульсии содержат 3-7% масс. смеси первичных или вторичных моно- и диалканоламинов и алифатических монокарбоновых кислот.</w:t>
      </w:r>
    </w:p>
    <w:p w14:paraId="5AB2E1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Неионогенные ПАВ на основе оксида этилена имеют общую формулу</w:t>
      </w:r>
    </w:p>
    <w:p w14:paraId="1B7CB8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ABFE3AB" w14:textId="07F5F424" w:rsidR="00000000" w:rsidRDefault="00B77559">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F177B31" wp14:editId="3042A663">
            <wp:extent cx="1836420" cy="342900"/>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6420" cy="342900"/>
                    </a:xfrm>
                    <a:prstGeom prst="rect">
                      <a:avLst/>
                    </a:prstGeom>
                    <a:noFill/>
                    <a:ln>
                      <a:noFill/>
                    </a:ln>
                  </pic:spPr>
                </pic:pic>
              </a:graphicData>
            </a:graphic>
          </wp:inline>
        </w:drawing>
      </w:r>
    </w:p>
    <w:p w14:paraId="4E8DDB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3183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R - алкил, X - атом кислорода, азота, серы или фрагмент функциональной группы: карбоксильной -СОО-, амидной -CONH-, фенольной -С6Н4О- и др.</w:t>
      </w:r>
    </w:p>
    <w:p w14:paraId="0D98E3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Исследована возможность использования неионогенного эмульгатора, на основе производных алкоксилированных спиртов, содержащих активный </w:t>
      </w:r>
      <w:r>
        <w:rPr>
          <w:rFonts w:ascii="Times New Roman CYR" w:hAnsi="Times New Roman CYR" w:cs="Times New Roman CYR"/>
          <w:kern w:val="0"/>
          <w:sz w:val="28"/>
          <w:szCs w:val="28"/>
        </w:rPr>
        <w:lastRenderedPageBreak/>
        <w:t>водород. Например, этиленоксилированные или пропиленоксилированные спирты. Производство такого эмульгатора заключается в реакции 1 моль стеарилового жирного спирта с 20 моль этиленоксидом.</w:t>
      </w:r>
    </w:p>
    <w:p w14:paraId="3D4C26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7A14BE" w14:textId="6989D591" w:rsidR="00000000" w:rsidRDefault="00B77559">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2DDF8EA" wp14:editId="558BA6C6">
            <wp:extent cx="5074920" cy="7924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4920" cy="792480"/>
                    </a:xfrm>
                    <a:prstGeom prst="rect">
                      <a:avLst/>
                    </a:prstGeom>
                    <a:noFill/>
                    <a:ln>
                      <a:noFill/>
                    </a:ln>
                  </pic:spPr>
                </pic:pic>
              </a:graphicData>
            </a:graphic>
          </wp:inline>
        </w:drawing>
      </w:r>
    </w:p>
    <w:p w14:paraId="3F7A77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84044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неионогенного ПАВ в производстве восковых эмульсий наиболее широкое применение нашли следующие эмульгаторы: сорбитан моноолеат (</w:t>
      </w:r>
      <w:r>
        <w:rPr>
          <w:rFonts w:ascii="Times New Roman CYR" w:hAnsi="Times New Roman CYR" w:cs="Times New Roman CYR"/>
          <w:kern w:val="0"/>
          <w:sz w:val="28"/>
          <w:szCs w:val="28"/>
          <w:lang w:val="en-US"/>
        </w:rPr>
        <w:t>Span</w:t>
      </w:r>
      <w:r>
        <w:rPr>
          <w:rFonts w:ascii="Times New Roman CYR" w:hAnsi="Times New Roman CYR" w:cs="Times New Roman CYR"/>
          <w:kern w:val="0"/>
          <w:sz w:val="28"/>
          <w:szCs w:val="28"/>
        </w:rPr>
        <w:t xml:space="preserve"> 80), полиоксиэтилен (20) сорбитан моноолеат (</w:t>
      </w:r>
      <w:r>
        <w:rPr>
          <w:rFonts w:ascii="Times New Roman CYR" w:hAnsi="Times New Roman CYR" w:cs="Times New Roman CYR"/>
          <w:kern w:val="0"/>
          <w:sz w:val="28"/>
          <w:szCs w:val="28"/>
          <w:lang w:val="en-US"/>
        </w:rPr>
        <w:t>Tween</w:t>
      </w:r>
      <w:r>
        <w:rPr>
          <w:rFonts w:ascii="Times New Roman CYR" w:hAnsi="Times New Roman CYR" w:cs="Times New Roman CYR"/>
          <w:kern w:val="0"/>
          <w:sz w:val="28"/>
          <w:szCs w:val="28"/>
        </w:rPr>
        <w:t xml:space="preserve"> 80) . Для получения стабильных эмульсий указанные эмульгаторы или их смеси используют в таком соотношении, при котором их смесь имеет значение гидрофильно-липофильного баланса (ГЛБ), близкое по значению к ГЛБ дисперсной фазы . Согласно концепции ГЛБ для получения стабильной эмульсии необходимо комбинировать эмульгаторы, одного более гидрофильного, а другого гидрофобного, чем использование одного эмульгатора с промежуточным значением ГЛБ. Требуемый ГЛБ смеси эмульгаторов рассчитывают по формуле </w:t>
      </w:r>
    </w:p>
    <w:p w14:paraId="348D05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15F08E" w14:textId="6298B947" w:rsidR="00000000" w:rsidRDefault="00B77559">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8A31B6C" wp14:editId="374B661A">
            <wp:extent cx="3116580" cy="327660"/>
            <wp:effectExtent l="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6580" cy="32766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345FE629" wp14:editId="59A73C3B">
            <wp:extent cx="3116580" cy="327660"/>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6580" cy="327660"/>
                    </a:xfrm>
                    <a:prstGeom prst="rect">
                      <a:avLst/>
                    </a:prstGeom>
                    <a:noFill/>
                    <a:ln>
                      <a:noFill/>
                    </a:ln>
                  </pic:spPr>
                </pic:pic>
              </a:graphicData>
            </a:graphic>
          </wp:inline>
        </w:drawing>
      </w:r>
    </w:p>
    <w:p w14:paraId="61BA35C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FADE3FE" w14:textId="4AD14531"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sidR="00B77559">
        <w:rPr>
          <w:rFonts w:ascii="Microsoft Sans Serif" w:hAnsi="Microsoft Sans Serif" w:cs="Microsoft Sans Serif"/>
          <w:noProof/>
          <w:kern w:val="0"/>
          <w:sz w:val="17"/>
          <w:szCs w:val="17"/>
        </w:rPr>
        <w:drawing>
          <wp:inline distT="0" distB="0" distL="0" distR="0" wp14:anchorId="5E0D8A42" wp14:editId="4474AB02">
            <wp:extent cx="807720" cy="327660"/>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7720" cy="327660"/>
                    </a:xfrm>
                    <a:prstGeom prst="rect">
                      <a:avLst/>
                    </a:prstGeom>
                    <a:noFill/>
                    <a:ln>
                      <a:noFill/>
                    </a:ln>
                  </pic:spPr>
                </pic:pic>
              </a:graphicData>
            </a:graphic>
          </wp:inline>
        </w:drawing>
      </w:r>
      <w:r w:rsidR="00B77559">
        <w:rPr>
          <w:rFonts w:ascii="Microsoft Sans Serif" w:hAnsi="Microsoft Sans Serif" w:cs="Microsoft Sans Serif"/>
          <w:noProof/>
          <w:kern w:val="0"/>
          <w:sz w:val="17"/>
          <w:szCs w:val="17"/>
        </w:rPr>
        <w:drawing>
          <wp:inline distT="0" distB="0" distL="0" distR="0" wp14:anchorId="487DFE3C" wp14:editId="3E015F39">
            <wp:extent cx="800100" cy="327660"/>
            <wp:effectExtent l="0" t="0" r="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32766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r w:rsidR="00B77559">
        <w:rPr>
          <w:rFonts w:ascii="Microsoft Sans Serif" w:hAnsi="Microsoft Sans Serif" w:cs="Microsoft Sans Serif"/>
          <w:noProof/>
          <w:kern w:val="0"/>
          <w:sz w:val="17"/>
          <w:szCs w:val="17"/>
        </w:rPr>
        <w:drawing>
          <wp:inline distT="0" distB="0" distL="0" distR="0" wp14:anchorId="248F3218" wp14:editId="694122FC">
            <wp:extent cx="1386840" cy="335280"/>
            <wp:effectExtent l="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6840" cy="335280"/>
                    </a:xfrm>
                    <a:prstGeom prst="rect">
                      <a:avLst/>
                    </a:prstGeom>
                    <a:noFill/>
                    <a:ln>
                      <a:noFill/>
                    </a:ln>
                  </pic:spPr>
                </pic:pic>
              </a:graphicData>
            </a:graphic>
          </wp:inline>
        </w:drawing>
      </w:r>
      <w:r w:rsidR="00B77559">
        <w:rPr>
          <w:rFonts w:ascii="Microsoft Sans Serif" w:hAnsi="Microsoft Sans Serif" w:cs="Microsoft Sans Serif"/>
          <w:noProof/>
          <w:kern w:val="0"/>
          <w:sz w:val="17"/>
          <w:szCs w:val="17"/>
        </w:rPr>
        <w:drawing>
          <wp:inline distT="0" distB="0" distL="0" distR="0" wp14:anchorId="24818495" wp14:editId="10EB2778">
            <wp:extent cx="1386840" cy="335280"/>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6840" cy="335280"/>
                    </a:xfrm>
                    <a:prstGeom prst="rect">
                      <a:avLst/>
                    </a:prstGeom>
                    <a:noFill/>
                    <a:ln>
                      <a:noFill/>
                    </a:ln>
                  </pic:spPr>
                </pic:pic>
              </a:graphicData>
            </a:graphic>
          </wp:inline>
        </w:drawing>
      </w:r>
      <w:r>
        <w:rPr>
          <w:rFonts w:ascii="Times New Roman CYR" w:hAnsi="Times New Roman CYR" w:cs="Times New Roman CYR"/>
          <w:kern w:val="0"/>
          <w:sz w:val="28"/>
          <w:szCs w:val="28"/>
        </w:rPr>
        <w:t xml:space="preserve"> - значения ГЛБ соответствующих компонентов и их смеси,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 количество соответствующего компонента, % масс.</w:t>
      </w:r>
    </w:p>
    <w:p w14:paraId="0D1052C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Значения ГЛБ между 9,5 - 10,3 наиболее подходящие для образования стабильной восковой эмульсии. Часто стабильность эмульсии также характеризуется размером частиц, поэтому параллельно проводи определение размеров частиц. При указанном значении ГЛБ частицы дисперсной фазы </w:t>
      </w:r>
      <w:r>
        <w:rPr>
          <w:rFonts w:ascii="Times New Roman CYR" w:hAnsi="Times New Roman CYR" w:cs="Times New Roman CYR"/>
          <w:kern w:val="0"/>
          <w:sz w:val="28"/>
          <w:szCs w:val="28"/>
        </w:rPr>
        <w:lastRenderedPageBreak/>
        <w:t xml:space="preserve">имели наименьший размер около 700 нм. Также было установлено, что использование отдельно </w:t>
      </w:r>
      <w:r>
        <w:rPr>
          <w:rFonts w:ascii="Times New Roman CYR" w:hAnsi="Times New Roman CYR" w:cs="Times New Roman CYR"/>
          <w:kern w:val="0"/>
          <w:sz w:val="28"/>
          <w:szCs w:val="28"/>
          <w:lang w:val="en-US"/>
        </w:rPr>
        <w:t>SPAN</w:t>
      </w:r>
      <w:r>
        <w:rPr>
          <w:rFonts w:ascii="Times New Roman CYR" w:hAnsi="Times New Roman CYR" w:cs="Times New Roman CYR"/>
          <w:kern w:val="0"/>
          <w:sz w:val="28"/>
          <w:szCs w:val="28"/>
        </w:rPr>
        <w:t xml:space="preserve"> или </w:t>
      </w:r>
      <w:r>
        <w:rPr>
          <w:rFonts w:ascii="Times New Roman CYR" w:hAnsi="Times New Roman CYR" w:cs="Times New Roman CYR"/>
          <w:kern w:val="0"/>
          <w:sz w:val="28"/>
          <w:szCs w:val="28"/>
          <w:lang w:val="en-US"/>
        </w:rPr>
        <w:t>TWEEN</w:t>
      </w:r>
      <w:r>
        <w:rPr>
          <w:rFonts w:ascii="Times New Roman CYR" w:hAnsi="Times New Roman CYR" w:cs="Times New Roman CYR"/>
          <w:kern w:val="0"/>
          <w:sz w:val="28"/>
          <w:szCs w:val="28"/>
        </w:rPr>
        <w:t xml:space="preserve"> не позволяет получить стабильную восковую эмульсию. Отмечается, что стабильность эмульсии увеличивается с увеличением концентрации эмульгатора, поскольку требуемое количество эмульгатора определяет общую межфазную поверхность и, следовательно, стабильность эмульсии. Эмульсии с 10% масс. указанного эмульгатора вполне стабильны.</w:t>
      </w:r>
    </w:p>
    <w:p w14:paraId="46455FE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Известны также случаи приготовления стабильных восковых эмульсий при использовании смеси анионного и неионогенного эмульгаторов . Анионный эмульгатор представляет собой соединение, образованное нейтрализацией кислоты (с алкильной цепью с 21 атомом углерода) алканоламином. Неионогенный эмульгатор имеет алкильную цепь с 19 атомами углерода и значение ГЛБ равным 7,6.</w:t>
      </w:r>
    </w:p>
    <w:p w14:paraId="6E7D348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хотя в качестве эмульгаторов, используемых при приготовлении стабильных восковых эмульсий, могут применяться и анионные, и катионные ПАВ, наибольшее предпочтение отдается неионогенным. Некоторые из рассмотренных эмульгаторов доступны в виде готовых к использованию веществ (коммерческих продуктов), другие могут быть получены в процессе производства эмульсии. Общее количество эмульгаторов для производства стабильных восковых эмульсий с помощью методов «вода в воск» и «воск в воду» обычно не превышает 10% масс. на эмульсию. Эмульсии, полученные с использованием методов высокого давления, обычно содержат не более 3 - 5% масс. эмульгаторов.</w:t>
      </w:r>
    </w:p>
    <w:p w14:paraId="5454F2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E592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36"/>
          <w:sz w:val="28"/>
          <w:szCs w:val="28"/>
        </w:rPr>
      </w:pPr>
      <w:r>
        <w:rPr>
          <w:rFonts w:ascii="Times New Roman CYR" w:hAnsi="Times New Roman CYR" w:cs="Times New Roman CYR"/>
          <w:kern w:val="36"/>
          <w:sz w:val="28"/>
          <w:szCs w:val="28"/>
        </w:rPr>
        <w:t>Добавки специального назначения</w:t>
      </w:r>
    </w:p>
    <w:p w14:paraId="57441D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3020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Восковая эмульсия представляет собой многофункциональную композицию, качественные показатели которой можно изменять путем введения различных добавок, направленных на улучшение тех свойств, которые в наибольшей мере требуются в конкретной области применения. При этом все используемые добавки можно условно разделить на два вида:</w:t>
      </w:r>
    </w:p>
    <w:p w14:paraId="305A63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улучшающие основные свойства восковых эмульсий (стабильность при разбавлении, циклах «замерзание - оттаивание» и др.);</w:t>
      </w:r>
    </w:p>
    <w:p w14:paraId="16AEB3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придающие эмульсиям специальные свойства (антиокислительные, антибактериальные, защищающие от ультрафиолетового излучения и др.).</w:t>
      </w:r>
    </w:p>
    <w:p w14:paraId="47346B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Восковые эмульсии могут частично разрушаться при хранении, </w:t>
      </w:r>
      <w:r>
        <w:rPr>
          <w:rFonts w:ascii="Times New Roman CYR" w:hAnsi="Times New Roman CYR" w:cs="Times New Roman CYR"/>
          <w:kern w:val="0"/>
          <w:sz w:val="28"/>
          <w:szCs w:val="28"/>
        </w:rPr>
        <w:lastRenderedPageBreak/>
        <w:t>транспортировке или в результате замораживания и оттаивания под влиянием знакопеременных температурных воздействий. Замораживание и оттаивание наиболее часто случается во время хранения и транспортировки в регионах с холодным климатом, где эмульсии могут подвергаться воздействию температур, ниже температуры замерзания воды. Термин «цикл замораживание - оттаивание» обозначает процедуру, в которой жидкая эмульсия подвергается воздействию температуры ниже температуры замерзания воды на период времени, достаточный для того, чтобы эмульсия была переведена в твердую массу. Затем эмульсия подвергается воздействию температуры выше температуры замерзания воды на время, достаточное для полного оттаивания эмульсии. Стабильность эмульсии в цикле «замораживание - оттаивание» оценивают путем измерения вязкости до замораживания и после полного оттаивания. Довольно часто восковая эмульсия, которая подвергается циклу «замораживание-оттаивание», густеет до не текучей, гелеподобной композиции, которая не может использоваться по назначению. По этой причине, часто можно увидеть на контейнерах с восковой эмульсией предостережение «хранить от замерзания». Увеличить стабильность эмульсий к циклам «замораживание - оттаивание» можно путем введения специальных добавок. В качестве таких добавок можно использовать производные амидов, например N-метилацетамид . Указанные добавки водорастворимы и могут быть добавлены непосредственно в эмульсию или предварительно растворены в воде. Оптимальная концентрация добавок, улучшающих стабильность к циклам «замораживание оттаивание», составляет 0,05-5,0% масс.</w:t>
      </w:r>
    </w:p>
    <w:p w14:paraId="4113D2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работе отмечается еще одна проблема, раньше встречающаяся в восковых эмульсиях. Поскольку восковые эмульсии транспортируются к потребителю в концентрированном виде, то в результате постоянных встряхиваний частицы парафины начинали образовывать агломераты и комки. Подобное явление могло также наблюдаться при использовании эмульсии в </w:t>
      </w:r>
      <w:r>
        <w:rPr>
          <w:rFonts w:ascii="Times New Roman CYR" w:hAnsi="Times New Roman CYR" w:cs="Times New Roman CYR"/>
          <w:kern w:val="0"/>
          <w:sz w:val="28"/>
          <w:szCs w:val="28"/>
        </w:rPr>
        <w:lastRenderedPageBreak/>
        <w:t>домашних условиях, когда она должна быть разбавлена до нужной концентрации для ее дальнейшего применения. Разбавление восковой эмульсии не должно приводить ни к образованию осадка, ни к образованию агломератов частиц парафинов в виде комков. Авторами указанной работы предлагалось для увеличения стабильности эмульсии при встряхивании использовать в качестве добавки специально приготовленную композицию, которая включала твердую длинноцепочечную кислоту жирного ряда и гесиктол борат. Однако в последнее время решение указанной проблема направлено на поиск эмульгаторов, используемых при производстве эмульсии и одновременно выполняющих функции указанной добавки.</w:t>
      </w:r>
    </w:p>
    <w:p w14:paraId="307F15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Кроме того, иногда условия приготовления эмульсии с определенными свойствами и используемые для этих целей эмульгаторы, требуют введения антипенных и рН-регулирующих добавок . В качестве рН-регулирующих добавок могут использоваться основания, например, гидроксид аммония или натрия .</w:t>
      </w:r>
    </w:p>
    <w:p w14:paraId="165FEE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 второму типу можно отнести добавки, используемые при получении эмульсий специального назначения. Например, при полировании дерева, бумаги и картона, в восковые эмульсии вводят синтетические полимеры, такие как полистирол, поливинилхлорид, полиэтилен, а также сополимеры винилацетата и эфира акриловой кислоты, сополимеры акрилонитрила, метакриловой кислоты и др. Указанные добавки улучшают водоотталкивающие свойства и блеск поверхности .</w:t>
      </w:r>
    </w:p>
    <w:p w14:paraId="795451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Восковые эмульсии, используемые в сельскохозяйственных целях, могут содержать в качестве добавок противогрибковые агенты, пигменты и др.</w:t>
      </w:r>
    </w:p>
    <w:p w14:paraId="32BF7A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Существует также проблема восприимчивости эмульсий к атакам бактерий. Довольно часто в открытых контейнерах при хранении эмульсий наблюдается рост бактерий. Эти вещества приводят ее к застыванию и делают непригодной для использования. Для борьбы с бактериями используют </w:t>
      </w:r>
      <w:r>
        <w:rPr>
          <w:rFonts w:ascii="Times New Roman CYR" w:hAnsi="Times New Roman CYR" w:cs="Times New Roman CYR"/>
          <w:kern w:val="0"/>
          <w:sz w:val="28"/>
          <w:szCs w:val="28"/>
        </w:rPr>
        <w:lastRenderedPageBreak/>
        <w:t>ингибиторы роста бактерий .</w:t>
      </w:r>
    </w:p>
    <w:p w14:paraId="76B9E3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производстве восковых эмульсий, предназначенных для длительного хранения, можно использовать в качестве добавки антиоксиданты, такие как 2,6-трет-бутил-4-метилфенол, 2,2’-метилен-бис-(3-метил-6-тетра-бутилфенол), тридецилфосфит (TDP), трифенилфосфит (TPP) и др. Эти добавки используют в количестве до 1% масс. на эмульсию .</w:t>
      </w:r>
    </w:p>
    <w:p w14:paraId="5448F2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Иногда в состав восковых эмульсий, хранящихся на освещаемых солнцем территориях, для защиты воска от воздействия ультрафиолетового излучения вводят специальные химические агенты. В качестве таких добавок используют поглотители ультрафиолетового излучения (производные бензоатриалозов или бензофенонов).</w:t>
      </w:r>
    </w:p>
    <w:p w14:paraId="0D926E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Достаточно часто добавки модифицируют различными веществами для создания композиции многофункционального действия. Одними из подобных систем, обеспечивающих защиту от ультрафиолетового излучения и обладающих антиокислительными свойствами, являются, например, композиции с коммерческими названиями </w:t>
      </w:r>
      <w:r>
        <w:rPr>
          <w:rFonts w:ascii="Times New Roman CYR" w:hAnsi="Times New Roman CYR" w:cs="Times New Roman CYR"/>
          <w:kern w:val="0"/>
          <w:sz w:val="28"/>
          <w:szCs w:val="28"/>
          <w:lang w:val="en-US"/>
        </w:rPr>
        <w:t>Tinuvin</w:t>
      </w:r>
      <w:r>
        <w:rPr>
          <w:rFonts w:ascii="Times New Roman CYR" w:hAnsi="Times New Roman CYR" w:cs="Times New Roman CYR"/>
          <w:kern w:val="0"/>
          <w:sz w:val="28"/>
          <w:szCs w:val="28"/>
        </w:rPr>
        <w:t xml:space="preserve"> 328 </w:t>
      </w:r>
      <w:r>
        <w:rPr>
          <w:rFonts w:ascii="Times New Roman CYR" w:hAnsi="Times New Roman CYR" w:cs="Times New Roman CYR"/>
          <w:kern w:val="0"/>
          <w:sz w:val="28"/>
          <w:szCs w:val="28"/>
          <w:lang w:val="en-US"/>
        </w:rPr>
        <w:t>RTM</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Tinuvin</w:t>
      </w:r>
      <w:r>
        <w:rPr>
          <w:rFonts w:ascii="Times New Roman CYR" w:hAnsi="Times New Roman CYR" w:cs="Times New Roman CYR"/>
          <w:kern w:val="0"/>
          <w:sz w:val="28"/>
          <w:szCs w:val="28"/>
        </w:rPr>
        <w:t xml:space="preserve"> 292 </w:t>
      </w:r>
      <w:r>
        <w:rPr>
          <w:rFonts w:ascii="Times New Roman CYR" w:hAnsi="Times New Roman CYR" w:cs="Times New Roman CYR"/>
          <w:kern w:val="0"/>
          <w:sz w:val="28"/>
          <w:szCs w:val="28"/>
          <w:lang w:val="en-US"/>
        </w:rPr>
        <w:t>RTM</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Irganox</w:t>
      </w:r>
      <w:r>
        <w:rPr>
          <w:rFonts w:ascii="Times New Roman CYR" w:hAnsi="Times New Roman CYR" w:cs="Times New Roman CYR"/>
          <w:kern w:val="0"/>
          <w:sz w:val="28"/>
          <w:szCs w:val="28"/>
        </w:rPr>
        <w:t xml:space="preserve"> 1076 </w:t>
      </w:r>
      <w:r>
        <w:rPr>
          <w:rFonts w:ascii="Times New Roman CYR" w:hAnsi="Times New Roman CYR" w:cs="Times New Roman CYR"/>
          <w:kern w:val="0"/>
          <w:sz w:val="28"/>
          <w:szCs w:val="28"/>
          <w:lang w:val="en-US"/>
        </w:rPr>
        <w:t>RTM</w:t>
      </w:r>
      <w:r>
        <w:rPr>
          <w:rFonts w:ascii="Times New Roman CYR" w:hAnsi="Times New Roman CYR" w:cs="Times New Roman CYR"/>
          <w:kern w:val="0"/>
          <w:sz w:val="28"/>
          <w:szCs w:val="28"/>
        </w:rPr>
        <w:t xml:space="preserve"> .</w:t>
      </w:r>
    </w:p>
    <w:p w14:paraId="45AF93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показатели качества восковых эмульсий могут быть значительно увеличены за счет введения специальных добавок или композиций на их основе.</w:t>
      </w:r>
    </w:p>
    <w:p w14:paraId="7BB737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ED07C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36"/>
          <w:sz w:val="28"/>
          <w:szCs w:val="28"/>
        </w:rPr>
      </w:pPr>
      <w:r>
        <w:rPr>
          <w:rFonts w:ascii="Times New Roman CYR" w:hAnsi="Times New Roman CYR" w:cs="Times New Roman CYR"/>
          <w:kern w:val="36"/>
          <w:sz w:val="28"/>
          <w:szCs w:val="28"/>
        </w:rPr>
        <w:t>Основные представления о структурно-коллоидных свойствах восковых эмульсий как нефтяных дисперсных системах</w:t>
      </w:r>
    </w:p>
    <w:p w14:paraId="5F4909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004CA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Восковые эмульсии, приготовленные с использованием соответствующих эмульгаторов и добавок, должны обладать рядом свойств, характеризующих их качество и область применения. Поскольку восковые эмульсии представляют собой структурированные коллоидно-дисперсные системы, большинство их </w:t>
      </w:r>
      <w:r>
        <w:rPr>
          <w:rFonts w:ascii="Times New Roman CYR" w:hAnsi="Times New Roman CYR" w:cs="Times New Roman CYR"/>
          <w:kern w:val="0"/>
          <w:sz w:val="28"/>
          <w:szCs w:val="28"/>
        </w:rPr>
        <w:lastRenderedPageBreak/>
        <w:t>свойств обусловлено процессами, протекающими на границе раздела фаз «нефтяной воск - вода» и между отдельными сложно-структурными единицами системы. При исследовании свойств восковых эмульсий основное внимание уделяется следующим факторам:</w:t>
      </w:r>
    </w:p>
    <w:p w14:paraId="22D0C1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изменению поверхностного натяжения на границе раздела фаз «нефтяной воск - вода»;</w:t>
      </w:r>
    </w:p>
    <w:p w14:paraId="3D9C8F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стабильности восковых эмульсий;</w:t>
      </w:r>
    </w:p>
    <w:p w14:paraId="3A3A75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размеру частиц дисперсной фазы;</w:t>
      </w:r>
    </w:p>
    <w:p w14:paraId="6FA838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Arial CYR" w:hAnsi="Arial CYR" w:cs="Arial CYR"/>
          <w:kern w:val="0"/>
          <w:sz w:val="28"/>
          <w:szCs w:val="28"/>
          <w:lang w:val="en-US"/>
        </w:rPr>
        <w:softHyphen/>
      </w:r>
      <w:r>
        <w:rPr>
          <w:rFonts w:ascii="Arial CYR" w:hAnsi="Arial CYR" w:cs="Arial CYR"/>
          <w:kern w:val="0"/>
          <w:sz w:val="28"/>
          <w:szCs w:val="28"/>
          <w:lang w:val="en-US"/>
        </w:rPr>
        <w:tab/>
      </w:r>
      <w:r>
        <w:rPr>
          <w:rFonts w:ascii="Times New Roman CYR" w:hAnsi="Times New Roman CYR" w:cs="Times New Roman CYR"/>
          <w:kern w:val="0"/>
          <w:sz w:val="28"/>
          <w:szCs w:val="28"/>
          <w:lang w:val="en-US"/>
        </w:rPr>
        <w:t>электрофоретическим свойствам;</w:t>
      </w:r>
    </w:p>
    <w:p w14:paraId="2382DD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Arial CYR" w:hAnsi="Arial CYR" w:cs="Arial CYR"/>
          <w:kern w:val="0"/>
          <w:sz w:val="28"/>
          <w:szCs w:val="28"/>
          <w:lang w:val="en-US"/>
        </w:rPr>
        <w:softHyphen/>
      </w:r>
      <w:r>
        <w:rPr>
          <w:rFonts w:ascii="Arial CYR" w:hAnsi="Arial CYR" w:cs="Arial CYR"/>
          <w:kern w:val="0"/>
          <w:sz w:val="28"/>
          <w:szCs w:val="28"/>
          <w:lang w:val="en-US"/>
        </w:rPr>
        <w:tab/>
      </w:r>
      <w:r>
        <w:rPr>
          <w:rFonts w:ascii="Times New Roman CYR" w:hAnsi="Times New Roman CYR" w:cs="Times New Roman CYR"/>
          <w:kern w:val="0"/>
          <w:sz w:val="28"/>
          <w:szCs w:val="28"/>
          <w:lang w:val="en-US"/>
        </w:rPr>
        <w:t>вязкостно-температурным (реологическим) свойствам;</w:t>
      </w:r>
    </w:p>
    <w:p w14:paraId="6E7CE5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эксплуатационным свойствам.</w:t>
      </w:r>
    </w:p>
    <w:p w14:paraId="4883A0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BE62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36"/>
          <w:sz w:val="28"/>
          <w:szCs w:val="28"/>
        </w:rPr>
      </w:pPr>
      <w:r>
        <w:rPr>
          <w:rFonts w:ascii="Times New Roman CYR" w:hAnsi="Times New Roman CYR" w:cs="Times New Roman CYR"/>
          <w:kern w:val="36"/>
          <w:sz w:val="28"/>
          <w:szCs w:val="28"/>
        </w:rPr>
        <w:t>Поверхностное натяжение на границе раздела фаз «нефтяной воск- вода»</w:t>
      </w:r>
    </w:p>
    <w:p w14:paraId="2ED58E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D377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получения стабильных восковых эмульсий, используемые эмульгаторы (поверхностно-активные вещества) должны понижать поверхностное (межфазное) натяжение на границе раздела фаз нефтяной воск - вода . Это связано с тем, что восковые эмульсии как нефтяные коллоидно-дисперсные системы характеризуются большой межфазной поверхностью, обладающей избытком поверхностной энергии. Это приводит к тому, что в самопроизвольных процессах в таких системах либо уменьшается межфазная поверхность (агломерация), либо происходит локальное изменение концентрации одного из компонентов системы (адсорбция). Восковые эмульсии характеризуются поверхностью раздела двух фаз - нефтяного воска и воды. Под «поверхностью раздела» в действительности понимают некоторый переходный слой конечной толщины. С течением времени после соприкосновения фаз будет происходить диффузия молекул каждой из фаз в другую, в результате чего будет достигнуто равновесное распределение компонентов в объемах </w:t>
      </w:r>
      <w:r>
        <w:rPr>
          <w:rFonts w:ascii="Times New Roman CYR" w:hAnsi="Times New Roman CYR" w:cs="Times New Roman CYR"/>
          <w:kern w:val="0"/>
          <w:sz w:val="28"/>
          <w:szCs w:val="28"/>
        </w:rPr>
        <w:lastRenderedPageBreak/>
        <w:t>контактирующих фаз и на межфазной границе, т.е. будет сформирована новая поверхность раздела. Появление новой поверхности раздела требует совершения работы, при этом каждая среда «стремится» уменьшить площадь своей поверхности, поэтому частицы воска в эмульсии стремятся принять сферическую форму. Величина поверхностного натяжения при этом снижается, что с термодинамической точки зрения благоприятно отражается на стабильности эмульсии.</w:t>
      </w:r>
    </w:p>
    <w:p w14:paraId="389008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Исследование поверхностного натяжения на границе раздела фаз нефтяной воск - вода является одним из важнейших принципов подбора эмульгатора и проводится как статическими, так и динамическими методами. В статических методах поверхностное натяжение определяется на сформировавшейся новой поверхности, находящейся в состоянии равновесия, динамические - связаны с разрушением поверхностного слоя. В общем случае для определения поверхностного натяжения эмульсий можно использовать тензиометры различного принципа действия, например, основанного на изучения формы капли или на измерении капиллярного давления .</w:t>
      </w:r>
    </w:p>
    <w:p w14:paraId="08A16E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работах было установлено, что поверхностное натяжение на границе раздела фаз нефтяной воск - вода составляет 50 ± 5мН/м2, при этом отмечается, что введения эмульгатора может понизить его значение до 3,3 ± 0,7 мН/м2. В работе показано, что поверхностное натяжение снижается при увеличении концентрации эмульгатора до определенного значения. Дальнейшее увеличение концентрации не оказывает влияния на величину поверхностного натяжения на границе раздела фаз нефтяной воск - вода, что связано с достижением критической концентрации мицеллобразования.</w:t>
      </w:r>
    </w:p>
    <w:p w14:paraId="340BE5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Таким образом, значение поверхностного натяжения на границе раздела фаз нефтяной воск - вода в присутствии эмульгаторов значительно ниже, по сравнению с этой величиной без эмульгаторов. Эти данные коррелируют с более высокой стабильностью эмульсий, полученных на основе тех же </w:t>
      </w:r>
      <w:r>
        <w:rPr>
          <w:rFonts w:ascii="Times New Roman CYR" w:hAnsi="Times New Roman CYR" w:cs="Times New Roman CYR"/>
          <w:kern w:val="0"/>
          <w:sz w:val="28"/>
          <w:szCs w:val="28"/>
        </w:rPr>
        <w:lastRenderedPageBreak/>
        <w:t>эмульгаторов. Можно предположить, что снижение величины поверхностного натяжения на границе раздела фаз нефтяной воск - вода будет способствовать образованию устойчивой восковой эмульсии.</w:t>
      </w:r>
    </w:p>
    <w:p w14:paraId="477C9B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26E30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36"/>
          <w:sz w:val="28"/>
          <w:szCs w:val="28"/>
        </w:rPr>
      </w:pPr>
      <w:r>
        <w:rPr>
          <w:rFonts w:ascii="Times New Roman CYR" w:hAnsi="Times New Roman CYR" w:cs="Times New Roman CYR"/>
          <w:kern w:val="36"/>
          <w:sz w:val="28"/>
          <w:szCs w:val="28"/>
        </w:rPr>
        <w:t>Стабильность восковых эмульсий</w:t>
      </w:r>
    </w:p>
    <w:p w14:paraId="283D8A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0755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Стабильность восковых эмульсий является одним из основных свойств, определяющих сроки их хранения, а также способность эмульсий сопротивлению термическим эффектам и воздействию электролитов при разбавлении. Исследование стабильности восковых эмульсий проводят различными способами, в частности изучают:</w:t>
      </w:r>
    </w:p>
    <w:p w14:paraId="207194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роль эмульгаторов в образовании «защитного барьера» или, как его называют, бронирующего адсорбционно-сольватного слоя и его влияние на стабильность эмульсии;</w:t>
      </w:r>
    </w:p>
    <w:p w14:paraId="40614F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стабильность эмульсий под воздействием термических и механических воздействий;</w:t>
      </w:r>
    </w:p>
    <w:p w14:paraId="7041D9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Arial CYR" w:hAnsi="Arial CYR" w:cs="Arial CYR"/>
          <w:kern w:val="0"/>
          <w:sz w:val="28"/>
          <w:szCs w:val="28"/>
        </w:rPr>
        <w:softHyphen/>
      </w:r>
      <w:r>
        <w:rPr>
          <w:rFonts w:ascii="Arial CYR" w:hAnsi="Arial CYR" w:cs="Arial CYR"/>
          <w:kern w:val="0"/>
          <w:sz w:val="28"/>
          <w:szCs w:val="28"/>
        </w:rPr>
        <w:tab/>
      </w:r>
      <w:r>
        <w:rPr>
          <w:rFonts w:ascii="Times New Roman CYR" w:hAnsi="Times New Roman CYR" w:cs="Times New Roman CYR"/>
          <w:kern w:val="0"/>
          <w:sz w:val="28"/>
          <w:szCs w:val="28"/>
        </w:rPr>
        <w:t>устойчивость эмульсий к процессам агломерации, флокуляции и коалесценции при длительном хранении.</w:t>
      </w:r>
    </w:p>
    <w:p w14:paraId="2933AC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Роль эмульгатора в стабилизации системы нефтяной воск вода. Подбор эмульгатора имеет большое значение для оптимизации сил электростерического отталкивания, которое может замедлять разрушение эмульсий путем образования защитного адсорбционно-сольватного слоя на границе раздела фаз нефтяной воск - вода.</w:t>
      </w:r>
    </w:p>
    <w:p w14:paraId="3E7C81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Вокруг частиц воска могут образовываться защитные слои в виде моно- и многослойные пленки, состоящие из молекул эмульгаторов, что способствует увеличению электростерического отталкивания и межфазной вязкости и может замедлить процессы разрушения эмульсий. Взаимодействия между молекулами эмульгаторов, воды и нефтяного воска, помимо указанной пленки, могут </w:t>
      </w:r>
      <w:r>
        <w:rPr>
          <w:rFonts w:ascii="Times New Roman CYR" w:hAnsi="Times New Roman CYR" w:cs="Times New Roman CYR"/>
          <w:kern w:val="0"/>
          <w:sz w:val="28"/>
          <w:szCs w:val="28"/>
        </w:rPr>
        <w:lastRenderedPageBreak/>
        <w:t>стимулировать образование других самообразующихся систем, таких как термодинамически устойчивые мезофазы (нематической, гексагональной, ламеллярной, кубической и, возможно, других структур). Известно что присутствие ламеллярных жидко-кристаллических структур, также как и наличие пленки, увеличивает стабильность эмульсий.</w:t>
      </w:r>
    </w:p>
    <w:p w14:paraId="498EEF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Ламеллярные жидко-кристаллические самообразующиеся агрегаты могут существовать в эмульсии как третья фаза (водный раствор, нефтяной воск и ламеллярные самообразующийся агрегаты сосуществуют в равновесии). Указанные агрегаты располагаются на поверхности раздела фаз, образуя так называемый защитный барьер .</w:t>
      </w:r>
    </w:p>
    <w:p w14:paraId="0B8F70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изучения структуры самообразующихся агрегатов, состоящих из молекул эмульгаторов и значительно увеличивающих стабильность эмульсий, исследуют фазовые переходы методами: Small and Wide Angel X-ray Scattering (SAXS/WAXS), Polarized Optical Microscopy (POM), . Отмечается, что для объяснения высокой стабильности эмульсий, приготовленных с использованием ионогенного и неионогенного эмульгаторов и их смеси, были проведены исследования фазовых переходов.</w:t>
      </w:r>
    </w:p>
    <w:p w14:paraId="18D75A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Предположено, что в смеси эмульгаторов оптимальное взаимодействие ионогенного и неионогенного, образующих агрегаты, достигается, когда их алкильные цепи имеют схожие длины. Фазовое поведение неионогенного эмульгатора в воде показывает, что система образует ламеллярные жидко-кристаллические агрегаты и при высокой и низкой концентрации. С одной стороны, ионногенный эмульгатор в воде образует гексагональные жидко-кристаллические агрегаты при высокой концентрации, в то время как при низкой концентрации образует ламеллярные агрегаты. Исследование фазовых переходов в эмульсиях при 70°С (температура процесса эмульгирования) показало, что ламеллярные жидко-кристаллические кристаллы образуются при высоком соотношении неионногенный / ионногенный, в то </w:t>
      </w:r>
      <w:r>
        <w:rPr>
          <w:rFonts w:ascii="Times New Roman CYR" w:hAnsi="Times New Roman CYR" w:cs="Times New Roman CYR"/>
          <w:kern w:val="0"/>
          <w:sz w:val="28"/>
          <w:szCs w:val="28"/>
        </w:rPr>
        <w:lastRenderedPageBreak/>
        <w:t>время как гексагональные агрегаты присутствуют при низком отношении. Ионогенный эмульгатор может быть включен в ламеллярную структуру агрегата при соотношении эмульгаторов не превышающем 15/85. При увеличении содержания ионного эмульгатора до 30/70, толщина защитного слоя значительно увеличивается и происходит разделение на два жидко-кристаллических гелевых слоя, что может привести к снижению стабильности. Включение ионогенного эмульгатора в структуру агрегата объясняется тем, что при сравнении теоретической длины эмульгатора, рассчитанной путем сложения всех межатомных расстояний в молекуле, с экспериментально определенной, последняя оказалась короче на 10%.</w:t>
      </w:r>
    </w:p>
    <w:p w14:paraId="18AB9D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можно утверждать, что экспериментально установленная толщина слоя является несколько короче, чем теоретическая длина молекул. Следовательно, оба типа эмульгаторов образуют жидко-кристиллическую гелевую структуру, при этом алкильная часть одного может проникать в алкильную часть другого, образуя защитный слой с полярными группами с обеих сторон.</w:t>
      </w:r>
    </w:p>
    <w:p w14:paraId="0ABAD5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Влияние термических и механических факторов на утойчивость восковых эмульсий. На стабильность эмульсии большое влияние оказывают термические эффекты, происходящие при нагревании и охлаждении, особенно на стадии кристаллизации частиц парафина. При медленной скорости охлаждения, образующиеся достаточно толстые кристаллы парафина в дисперсной фазе могут значительно снижать кинетическую стабильность эмульсии. Кристаллы парафина могут пронизать поверхностную защитную пленку и проникать в воду, делая эмульсию нестабильной . Размер частиц воска увеличивается при увеличении времени охлаждения. По этой же причине эмульсии лучшего качества получаются при охлаждении в бане со льдом.</w:t>
      </w:r>
    </w:p>
    <w:p w14:paraId="3CA98B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Также указывается, что при нагревании эмульсии от комнатной температуры до 60°С в течение 30 мин, восковая фаза отчетливо отделялась и </w:t>
      </w:r>
      <w:r>
        <w:rPr>
          <w:rFonts w:ascii="Times New Roman CYR" w:hAnsi="Times New Roman CYR" w:cs="Times New Roman CYR"/>
          <w:kern w:val="0"/>
          <w:sz w:val="28"/>
          <w:szCs w:val="28"/>
        </w:rPr>
        <w:lastRenderedPageBreak/>
        <w:t>плавала на поверхности эмульсии. Во время нагревания твердые частицы переходят через полурасплавленное состояние в жидкое состояние, при этом полужидкие кристаллы парафина разрушают сольватные оболочки, позволяя проникать парафину на поверхность раздела с водой, что способствует образованию из маленьких капель больших агрегатов. Поэтому при хранении эмульсии нельзя допускать ее нагревания, так как это может привести к разрушению эмульсии.</w:t>
      </w:r>
    </w:p>
    <w:p w14:paraId="4F564F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того чтобы экспериментально оценить стабильность эмульсий, в работе было предложено ускорить разделение фаз путем применения циклов термического воздействия и ультрацентрифугирования. Каждый цикл включал четыре стадии: 1) 19 часов при -18</w:t>
      </w:r>
      <w:r>
        <w:rPr>
          <w:rFonts w:ascii="Times New Roman" w:hAnsi="Times New Roman" w:cs="Times New Roman"/>
          <w:kern w:val="0"/>
          <w:sz w:val="28"/>
          <w:szCs w:val="28"/>
        </w:rPr>
        <w:t>º</w:t>
      </w:r>
      <w:r>
        <w:rPr>
          <w:rFonts w:ascii="Times New Roman CYR" w:hAnsi="Times New Roman CYR" w:cs="Times New Roman CYR"/>
          <w:kern w:val="0"/>
          <w:sz w:val="28"/>
          <w:szCs w:val="28"/>
        </w:rPr>
        <w:t>С; 2) 2 часа при 70</w:t>
      </w:r>
      <w:r>
        <w:rPr>
          <w:rFonts w:ascii="Times New Roman" w:hAnsi="Times New Roman" w:cs="Times New Roman"/>
          <w:kern w:val="0"/>
          <w:sz w:val="28"/>
          <w:szCs w:val="28"/>
        </w:rPr>
        <w:t>º</w:t>
      </w:r>
      <w:r>
        <w:rPr>
          <w:rFonts w:ascii="Times New Roman CYR" w:hAnsi="Times New Roman CYR" w:cs="Times New Roman CYR"/>
          <w:kern w:val="0"/>
          <w:sz w:val="28"/>
          <w:szCs w:val="28"/>
        </w:rPr>
        <w:t>С 3) ультрацентрифугирование на скорости 19.000 об / мин в течение 30 мин при 40</w:t>
      </w:r>
      <w:r>
        <w:rPr>
          <w:rFonts w:ascii="Times New Roman" w:hAnsi="Times New Roman" w:cs="Times New Roman"/>
          <w:kern w:val="0"/>
          <w:sz w:val="28"/>
          <w:szCs w:val="28"/>
        </w:rPr>
        <w:t>º</w:t>
      </w:r>
      <w:r>
        <w:rPr>
          <w:rFonts w:ascii="Times New Roman CYR" w:hAnsi="Times New Roman CYR" w:cs="Times New Roman CYR"/>
          <w:kern w:val="0"/>
          <w:sz w:val="28"/>
          <w:szCs w:val="28"/>
        </w:rPr>
        <w:t xml:space="preserve">С (ускорение 50.000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4) 2 часа при 70</w:t>
      </w:r>
      <w:r>
        <w:rPr>
          <w:rFonts w:ascii="Times New Roman" w:hAnsi="Times New Roman" w:cs="Times New Roman"/>
          <w:kern w:val="0"/>
          <w:sz w:val="28"/>
          <w:szCs w:val="28"/>
        </w:rPr>
        <w:t>º</w:t>
      </w:r>
      <w:r>
        <w:rPr>
          <w:rFonts w:ascii="Times New Roman CYR" w:hAnsi="Times New Roman CYR" w:cs="Times New Roman CYR"/>
          <w:kern w:val="0"/>
          <w:sz w:val="28"/>
          <w:szCs w:val="28"/>
        </w:rPr>
        <w:t>С.</w:t>
      </w:r>
    </w:p>
    <w:p w14:paraId="3D2954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 ультрацентрифугирования при помещении восковых эмульсий в стеклянные цилиндры наблюдали три фазы (сверху в низ): прозрачная масляная фаза, концентрированная эмульсия с большим содержанием парафиновых частиц с размером от 1 до 100 мкм (остаточная эмульсия), и третья фракция - очень разбавленный раствор частиц нефтяного воска в воде с размером 0,1 - 0,3 мкм. Степень разделения фаз была исследована с помощью измерения объема остаточной эмульсии в конце каждого цикла. Этот параметр часто используют для качественной оценки стабильности эмульсии: чем больше этот объем, тем более стабильная эмульсия.</w:t>
      </w:r>
    </w:p>
    <w:p w14:paraId="75A477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Стабильность эмульсий при длительном хранении оценивают путем измерения размера частиц в зависимости от времени, часто при различном содержании эмульгатора. В работе указывается, что размер частиц начинает медленно увеличиваться после 30 дней хранения, что вызвано процессами коагуляции и коалесценции, т.е. происходит укрупнение частиц дисперсной фазы путем образования сложных агрегатов. При дальнейшем хранении это </w:t>
      </w:r>
      <w:r>
        <w:rPr>
          <w:rFonts w:ascii="Times New Roman CYR" w:hAnsi="Times New Roman CYR" w:cs="Times New Roman CYR"/>
          <w:kern w:val="0"/>
          <w:sz w:val="28"/>
          <w:szCs w:val="28"/>
        </w:rPr>
        <w:lastRenderedPageBreak/>
        <w:t>может привести к расслоению эмульсии или образованию «кремовой корки» на поверхности. Отмечается, что при увеличении концентрации эмульгатора от 4,0 до 8,0 % масс. скорость роста размеров частиц значительно замедляется.</w:t>
      </w:r>
    </w:p>
    <w:p w14:paraId="4193F2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восковые эмульсии при длительном хранении могут терять стабильность и расслаиваться из-за формирования сложных агрегатов, образованных отдельными восковыми частицами. Увеличить стабильность эмульсии, и, следовательно, срок ее жизни, можно путем подбора оптимального количества эмульгатора.</w:t>
      </w:r>
    </w:p>
    <w:p w14:paraId="63BA82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2264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36"/>
          <w:sz w:val="28"/>
          <w:szCs w:val="28"/>
        </w:rPr>
      </w:pPr>
      <w:r>
        <w:rPr>
          <w:rFonts w:ascii="Times New Roman CYR" w:hAnsi="Times New Roman CYR" w:cs="Times New Roman CYR"/>
          <w:kern w:val="36"/>
          <w:sz w:val="28"/>
          <w:szCs w:val="28"/>
        </w:rPr>
        <w:t>Дисперсность восковых эмульсий</w:t>
      </w:r>
    </w:p>
    <w:p w14:paraId="137576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59D3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лазерной дифракции является наиболее распространенным способом анализа распределения частиц по размерам. Часто принципы действия измерительных приборов сочетают методы лазерной дифракции и поляризационного дифференциального рассеивания (</w:t>
      </w:r>
      <w:r>
        <w:rPr>
          <w:rFonts w:ascii="Times New Roman CYR" w:hAnsi="Times New Roman CYR" w:cs="Times New Roman CYR"/>
          <w:kern w:val="0"/>
          <w:sz w:val="28"/>
          <w:szCs w:val="28"/>
          <w:lang w:val="en-US"/>
        </w:rPr>
        <w:t>PIDS</w:t>
      </w:r>
      <w:r>
        <w:rPr>
          <w:rFonts w:ascii="Times New Roman CYR" w:hAnsi="Times New Roman CYR" w:cs="Times New Roman CYR"/>
          <w:kern w:val="0"/>
          <w:sz w:val="28"/>
          <w:szCs w:val="28"/>
        </w:rPr>
        <w:t>), что позволяет автоматически рассчитывать размер частиц и представлять результат в виде кривой распределения .</w:t>
      </w:r>
    </w:p>
    <w:p w14:paraId="3D14E7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Было показано, что режим кристаллизации парафина оказывает значительное влияние на размер частиц воска в эмульсии. Поэтому часть эмульсий была охлаждена при температуре окружающего воздуха, другая часть - в бане со льдом. Эмульсии, охлажденные в бане со льдом, имели меньший размер частиц (около 650 нм). Полагают, что в момент начала охлаждения частицы воска могут частично коалесцировать, когда температура выше температуры плавления. Использование бани со льдом может значительно сократить время, когда частицы эмульсии находятся в расплавленном состоянии, и тем самым способствовать образованию эмульсий с частицами меньшего размера.</w:t>
      </w:r>
    </w:p>
    <w:p w14:paraId="65F614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Довольно часто проводят корреляции между размером частиц и </w:t>
      </w:r>
      <w:r>
        <w:rPr>
          <w:rFonts w:ascii="Times New Roman CYR" w:hAnsi="Times New Roman CYR" w:cs="Times New Roman CYR"/>
          <w:kern w:val="0"/>
          <w:sz w:val="28"/>
          <w:szCs w:val="28"/>
        </w:rPr>
        <w:lastRenderedPageBreak/>
        <w:t>температурой застывания раствора. Указанную зависимость можно исследовать методом дифференциальной сканирующей калориметрии (</w:t>
      </w:r>
      <w:r>
        <w:rPr>
          <w:rFonts w:ascii="Times New Roman CYR" w:hAnsi="Times New Roman CYR" w:cs="Times New Roman CYR"/>
          <w:kern w:val="0"/>
          <w:sz w:val="28"/>
          <w:szCs w:val="28"/>
          <w:lang w:val="en-US"/>
        </w:rPr>
        <w:t>DSC</w:t>
      </w:r>
      <w:r>
        <w:rPr>
          <w:rFonts w:ascii="Times New Roman CYR" w:hAnsi="Times New Roman CYR" w:cs="Times New Roman CYR"/>
          <w:kern w:val="0"/>
          <w:sz w:val="28"/>
          <w:szCs w:val="28"/>
        </w:rPr>
        <w:t xml:space="preserve">). </w:t>
      </w:r>
    </w:p>
    <w:p w14:paraId="2C6B00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действительности, затвердевание частиц воска происходит из переохлажденного раствора и зависит главным образом от степени переохлаждения. Для частиц дисперсной фазы восковой эмульсии микроскопического размера отклонение температуры застывания может значительно отличаться от соответствующего значения жидкого нефтяного воска. Более того, поскольку частицы воска неагрегированы, замерзание одной из частиц еще не значит распространение этого явления на все частицы. Эти два эффекта обеспечивают информацией о распределении частиц в эмульсии и могут быть охарактеризованы термограммами </w:t>
      </w:r>
      <w:r>
        <w:rPr>
          <w:rFonts w:ascii="Times New Roman CYR" w:hAnsi="Times New Roman CYR" w:cs="Times New Roman CYR"/>
          <w:kern w:val="0"/>
          <w:sz w:val="28"/>
          <w:szCs w:val="28"/>
          <w:lang w:val="en-US"/>
        </w:rPr>
        <w:t>DSC</w:t>
      </w:r>
      <w:r>
        <w:rPr>
          <w:rFonts w:ascii="Times New Roman CYR" w:hAnsi="Times New Roman CYR" w:cs="Times New Roman CYR"/>
          <w:kern w:val="0"/>
          <w:sz w:val="28"/>
          <w:szCs w:val="28"/>
        </w:rPr>
        <w:t xml:space="preserve"> после охлаждения образцов эмульсии. Различные размеры частиц дисперсной фазы могут отражаться пиками на термограмме, что свидетельствует об освобождении тепловой энергии при замерзании частицы при различных температурах переохлаждения: так пик при более низкой температуре будет соответствовать меньшему размеру частиц дисперсной фазы.</w:t>
      </w:r>
    </w:p>
    <w:p w14:paraId="1FF08C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A3FE3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36"/>
          <w:sz w:val="28"/>
          <w:szCs w:val="28"/>
        </w:rPr>
      </w:pPr>
      <w:r>
        <w:rPr>
          <w:rFonts w:ascii="Times New Roman CYR" w:hAnsi="Times New Roman CYR" w:cs="Times New Roman CYR"/>
          <w:kern w:val="36"/>
          <w:sz w:val="28"/>
          <w:szCs w:val="28"/>
        </w:rPr>
        <w:t>Электрофоретические свойства</w:t>
      </w:r>
    </w:p>
    <w:p w14:paraId="3006ED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4C4DA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Особенности электрофоретического влияния неионогенных гидрофобных поверхностей в воде являются предметом многих исследований. Электростатические свойства очень важны для эмульсий, поскольку они могут снижать или иллиминировать влияние флокуляций, следовательно, увеличивать стабильность эмульсий. Изучение электрофоретических свойств может производиться путем измерения значений дзета-потенциала. Значения дзета-потенциала определяют с помощью специальных приборов, (например, </w:t>
      </w:r>
      <w:r>
        <w:rPr>
          <w:rFonts w:ascii="Times New Roman CYR" w:hAnsi="Times New Roman CYR" w:cs="Times New Roman CYR"/>
          <w:kern w:val="0"/>
          <w:sz w:val="28"/>
          <w:szCs w:val="28"/>
          <w:lang w:val="en-US"/>
        </w:rPr>
        <w:t>DXD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microelectrophoresis</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instrument</w:t>
      </w:r>
      <w:r>
        <w:rPr>
          <w:rFonts w:ascii="Times New Roman CYR" w:hAnsi="Times New Roman CYR" w:cs="Times New Roman CYR"/>
          <w:kern w:val="0"/>
          <w:sz w:val="28"/>
          <w:szCs w:val="28"/>
        </w:rPr>
        <w:t xml:space="preserve"> или </w:t>
      </w:r>
      <w:r>
        <w:rPr>
          <w:rFonts w:ascii="Times New Roman CYR" w:hAnsi="Times New Roman CYR" w:cs="Times New Roman CYR"/>
          <w:kern w:val="0"/>
          <w:sz w:val="28"/>
          <w:szCs w:val="28"/>
          <w:lang w:val="en-US"/>
        </w:rPr>
        <w:t>Malvern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Zetaizer</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Nano</w:t>
      </w:r>
      <w:r>
        <w:rPr>
          <w:rFonts w:ascii="Times New Roman CYR" w:hAnsi="Times New Roman CYR" w:cs="Times New Roman CYR"/>
          <w:kern w:val="0"/>
          <w:sz w:val="28"/>
          <w:szCs w:val="28"/>
        </w:rPr>
        <w:t>), или рассчитывают по формуле Смолучковского.</w:t>
      </w:r>
    </w:p>
    <w:p w14:paraId="5F02C2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Известно, что увеличение поверхностного заряда может сильно улучшать стабильность эмульсий, поскольку силы отталкивания между каплями увеличиваются. В работе указывается, что капли восковой эмульсии должны быть отрицательно заряжены. Источником отрицательного заряда поверхности воска является результат адсорбции гидроксильных ионов на поверхности. Указывается также, что значения дзета-потенциала сильно зависят от рН системы. При увеличении рН, количество гидроксильных ионов увеличивается и ведет к росту значения дзета-потенциала капель эмульсии. Однако, в указанной работе размер частиц и стабильность эмульсии были практически одинаковые при разном рН. Возможно, рН системы оказывает влияние на силы отталкивания, но свойства эмульсий при этом могут оставаться практически неизменными.</w:t>
      </w:r>
    </w:p>
    <w:p w14:paraId="07EC74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Указывается, что по величине дзета-потенциала можно судить о электрокинетической стабильности эмульсий. Отмечается, что эмульсии, дзета-потенциал которых превышает величину 30 мВ, можно условно считать стабильными.</w:t>
      </w:r>
    </w:p>
    <w:p w14:paraId="1545EC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9AD6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36"/>
          <w:sz w:val="28"/>
          <w:szCs w:val="28"/>
        </w:rPr>
      </w:pPr>
      <w:r>
        <w:rPr>
          <w:rFonts w:ascii="Times New Roman CYR" w:hAnsi="Times New Roman CYR" w:cs="Times New Roman CYR"/>
          <w:kern w:val="36"/>
          <w:sz w:val="28"/>
          <w:szCs w:val="28"/>
        </w:rPr>
        <w:t>Вязкостно-температурные (реологические) свойства</w:t>
      </w:r>
    </w:p>
    <w:p w14:paraId="6D13BA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E29B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промышленных процессах происходит подача восковых эмульсий насосами и их перетекание по трубопроводам, благодаря чему изменяется температура системы, а также возникают напряжения сдвига. Для того чтобы смоделировать поведение эмульсии в промышленных условиях изучают их вязкостно-температурные свойства.</w:t>
      </w:r>
    </w:p>
    <w:p w14:paraId="1876F2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работах отмечается, что при изучении реологии эмульсии наблюдается типичное вязкостно-эластичное (псевдоэластичное) течение. Авторы этих работ проводили исследование вязкости при изменении скорости сдвига от 10-4 до 103 с-1, для определения значений, при которых скорость сдвига достаточно </w:t>
      </w:r>
      <w:r>
        <w:rPr>
          <w:rFonts w:ascii="Times New Roman CYR" w:hAnsi="Times New Roman CYR" w:cs="Times New Roman CYR"/>
          <w:kern w:val="0"/>
          <w:sz w:val="28"/>
          <w:szCs w:val="28"/>
        </w:rPr>
        <w:lastRenderedPageBreak/>
        <w:t>высока для начала деформации восковых частиц, что в конечном итоге приводит к разрушению структуры эмульсии. При этом изучение реологических свойств восковых эмульсий они проводили в статических и динамических условиях.</w:t>
      </w:r>
    </w:p>
    <w:p w14:paraId="2647B6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Статическое определение</w:t>
      </w:r>
    </w:p>
    <w:p w14:paraId="283131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указанных работах отмечается, что поведение восковых эмульсий можно характеризовать как течение псевдопластичной жидкости при низких скоростях сдвига, при этом вязкость резко снижается с увеличением скорости сдвига. Восковые эмульсии имели течение псевдопластичной жидкости до скорости сдвига 250 с-1, при дальнейшем увеличении скорости сдвига вязкость от нее не зависит.</w:t>
      </w:r>
    </w:p>
    <w:p w14:paraId="024216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Особое внимание в работах уделено изучению зависимости вязкости от напряжения сдвига при скорости 100 с-1. Указанная скорость сдвига была выбрана авторами как примерно эквивалентная условиям во время перевозки эмульсии (встряхивания), подачи насосами и течения через трубопроводы. Увеличение вязкости в этих условиях указывает на образование флокулянтов и говорит о некотором снижении стабильности эмульсии. Увеличение вязкости имеет место благодаря процессу флокуляции дисперсной фазы, что вынуждает эмульгатор десорбироваться с поверхности частицы дисперсной фазы.</w:t>
      </w:r>
    </w:p>
    <w:p w14:paraId="3C581A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2)</w:t>
      </w:r>
      <w:r>
        <w:rPr>
          <w:rFonts w:ascii="Times New Roman CYR" w:hAnsi="Times New Roman CYR" w:cs="Times New Roman CYR"/>
          <w:kern w:val="0"/>
          <w:sz w:val="28"/>
          <w:szCs w:val="28"/>
          <w:lang w:val="en-US"/>
        </w:rPr>
        <w:tab/>
        <w:t>Динамическое (колебательное) определение</w:t>
      </w:r>
    </w:p>
    <w:p w14:paraId="1AEA51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вязкостно-эластичных системах, таких как большинство эмульсий, напряжение колебания изменяется с той же частотой, что и напряжение сдвига, но вне фазы, следовательно, можно наблюдать сдвиг фазы. Изучение реологического поведения эмульсии в динамическом измерении было рассмотрено с помощью исследования эластичного и вязкостного модулей. Эластичный модуль определяется как энергия запаса в цикле колебания, в то время как вязкостный модуль характеризуется энергией рассеивания как вязкого течения в цикле колебания.</w:t>
      </w:r>
    </w:p>
    <w:p w14:paraId="2A3E36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Динамическое определение - это наиболее широко используемый метод для исследования процессов флокуляции. Во многих эмульсионных системах модули вязкости связаны с гидродинамическими взаимодействиями, и эластичный модуль указывает на межмолекулярные силы притяжения между частицами дисперсной фазы.</w:t>
      </w:r>
    </w:p>
    <w:p w14:paraId="2FB77E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работе также указывается, что значения эластичного модуля оказались выше значений вязкостного. Это говорит о том, что восковые эмульсии в большей степени имеют поведение эластичных жидкостей при температурах 20-50</w:t>
      </w:r>
      <w:r>
        <w:rPr>
          <w:rFonts w:ascii="Times New Roman" w:hAnsi="Times New Roman" w:cs="Times New Roman"/>
          <w:kern w:val="0"/>
          <w:sz w:val="28"/>
          <w:szCs w:val="28"/>
        </w:rPr>
        <w:t>º</w:t>
      </w:r>
      <w:r>
        <w:rPr>
          <w:rFonts w:ascii="Times New Roman CYR" w:hAnsi="Times New Roman CYR" w:cs="Times New Roman CYR"/>
          <w:kern w:val="0"/>
          <w:sz w:val="28"/>
          <w:szCs w:val="28"/>
        </w:rPr>
        <w:t>С. С другой стороны, превышение значений эластичного модуля над значениями вязкостного указывает на преобладание в системе сил поверхностных взаимодействий между частицами над гидродинамическими взаимодействиями, типичными для разбавленных стабильных эмульсий.</w:t>
      </w:r>
    </w:p>
    <w:p w14:paraId="2D698A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одной из основных целей исследования реологических свойств восковых эмульсии является установление оптимальных условий транспортировки и режимов работы насосов, используемых при применении эмульсий, обеспечивающих сохранение стабильности и других свойств.</w:t>
      </w:r>
    </w:p>
    <w:p w14:paraId="44E152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36"/>
          <w:sz w:val="28"/>
          <w:szCs w:val="28"/>
        </w:rPr>
      </w:pPr>
      <w:r>
        <w:rPr>
          <w:rFonts w:ascii="Times New Roman CYR" w:hAnsi="Times New Roman CYR" w:cs="Times New Roman CYR"/>
          <w:kern w:val="36"/>
          <w:sz w:val="28"/>
          <w:szCs w:val="28"/>
        </w:rPr>
        <w:t>Эксплуатационные свойства восковых эмульсий</w:t>
      </w:r>
    </w:p>
    <w:p w14:paraId="13236981"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восковый эмульсия нефтяной добавка</w:t>
      </w:r>
    </w:p>
    <w:p w14:paraId="509327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Водоотталкивающие свойства (гидрофобизирующая способность) - один из основных эксплуатационных показателей восковых эмульсий. В работах для изучения водоотталкивающих свойств в качестве исследуемого материала была выбрана древесина, как наиболее распространенная область применения восковых эмульсии. Древесина состоит из целлюлозных волокон, скрученных вместе, делая структуру, похожую на железобетонные конструкции, и имеет шероховатую поверхность, которая может исказить данные о способности восковых эмульсий к водоотталкиванию. Для того чтобы избежать этих различий, в указанной работе были взяты образцы древесины из молодых сосновых пород со шлифованной поверхностью.</w:t>
      </w:r>
    </w:p>
    <w:p w14:paraId="386A7D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Водопоглощение через волокна древесины является одной из основных причин ухудшения древесно-стружечных плит. Покрытие поверхности дерева эмульсией и испарение воды при 180</w:t>
      </w:r>
      <w:r>
        <w:rPr>
          <w:rFonts w:ascii="Times New Roman" w:hAnsi="Times New Roman" w:cs="Times New Roman"/>
          <w:kern w:val="0"/>
          <w:sz w:val="28"/>
          <w:szCs w:val="28"/>
        </w:rPr>
        <w:t>º</w:t>
      </w:r>
      <w:r>
        <w:rPr>
          <w:rFonts w:ascii="Times New Roman CYR" w:hAnsi="Times New Roman CYR" w:cs="Times New Roman CYR"/>
          <w:kern w:val="0"/>
          <w:sz w:val="28"/>
          <w:szCs w:val="28"/>
        </w:rPr>
        <w:t>C, приводит к тому, что частицы нефтяного воска плавятся и равномерно распространяются по поверхности, изменяя угол смачивания поверхности. Методом ассисимметричного анализа формы капли на поверхности древесины (ADSA) было установлено, что использование восковых эмульсий приводит к увеличению угла смачивания и, соответственно, водоотталкивающих свойств поверхности материала.</w:t>
      </w:r>
    </w:p>
    <w:p w14:paraId="686AC5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Водоотталкивающая способность восковых эмульсий зависит от стереохимической конфигурации углеводородов, входящих в состав нефтяных восков дисперсной фазы. Линейные углеводороды (н-алканы) имеют довольно плоскую структуру и поэтому обладают сильным гидрофобизирующим действием. Кроме того, при увеличении длины цепи углеводородов, увеличивается их способность к водонепроницаемости. Разветвленная структура углеводородов (изоалканы) имеют меньшую гидрофобизирующую способность. Исследования, проведенные в указанных работах, показывают, что эмульсии, полученные на основе нефтяных восков, имеющих содержание н-алканов с углеродными атомами в цепи в интервале C26 - C31, обладают наилучшими водоотталкивающими свойствами.</w:t>
      </w:r>
    </w:p>
    <w:p w14:paraId="631EE7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Другим важным показателем нефтяных восков, оказывающим влияние на степень водоотталкивающих свойств, является содержание масла. Отмечается, что эмульсии на основе нефтяных восков парафинов с высоким содержанием изопарафинов, то есть с высоким содержанием масла, обладают значительно худшими водоотталкивающими свойствами. При этом, если рассматривать зоны хроматографического распределения н-алканов в области C26-C31, то наблюдается наибольшая устойчивость восков к потере водоотталкивающих свойств, независимо от содержания в них изопарафинов (масла). Это объясняется тем, что потеря водоотталкивающей способности эмульсий также </w:t>
      </w:r>
      <w:r>
        <w:rPr>
          <w:rFonts w:ascii="Times New Roman CYR" w:hAnsi="Times New Roman CYR" w:cs="Times New Roman CYR"/>
          <w:kern w:val="0"/>
          <w:sz w:val="28"/>
          <w:szCs w:val="28"/>
        </w:rPr>
        <w:lastRenderedPageBreak/>
        <w:t>связана молекулярным весом нефтяных восков и со стереохимической структурой алканов, входящих в их состав.</w:t>
      </w:r>
    </w:p>
    <w:p w14:paraId="339C12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Исследование свойств восковых эмульсий имеет большое значение, как с теоретической, так и с практической точки зрения, поскольку позволяет не только определить факторы, влияющие на их качественные характеристики, но и смоделировать поведение эмульсий в реальных условиях хранения и применения.</w:t>
      </w:r>
    </w:p>
    <w:p w14:paraId="057B7B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D3C9A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36"/>
          <w:sz w:val="28"/>
          <w:szCs w:val="28"/>
        </w:rPr>
      </w:pPr>
      <w:r>
        <w:rPr>
          <w:rFonts w:ascii="Times New Roman CYR" w:hAnsi="Times New Roman CYR" w:cs="Times New Roman CYR"/>
          <w:kern w:val="36"/>
          <w:sz w:val="28"/>
          <w:szCs w:val="28"/>
        </w:rPr>
        <w:t>Использование восковых эмульсий в производстве различных материалов</w:t>
      </w:r>
    </w:p>
    <w:p w14:paraId="48F8C2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4043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Восковые эмульсии - это продукты, применение которых позволяет придать защитные свойства простым экономичным способом. Легкость нанесения эмульсии воска без необходимости использования тепла и процессов расплавления парафина приводит к все более широкому спектру применения в промышленности и в быту. Эмульсии в основном используются для:</w:t>
      </w:r>
    </w:p>
    <w:p w14:paraId="5E60C4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2"/>
          <w:szCs w:val="22"/>
        </w:rPr>
        <w:t>-</w:t>
      </w:r>
      <w:r>
        <w:rPr>
          <w:rFonts w:ascii="Times New Roman CYR" w:hAnsi="Times New Roman CYR" w:cs="Times New Roman CYR"/>
          <w:kern w:val="0"/>
          <w:sz w:val="22"/>
          <w:szCs w:val="22"/>
        </w:rPr>
        <w:tab/>
      </w:r>
      <w:r>
        <w:rPr>
          <w:rFonts w:ascii="Times New Roman CYR" w:hAnsi="Times New Roman CYR" w:cs="Times New Roman CYR"/>
          <w:kern w:val="0"/>
          <w:sz w:val="28"/>
          <w:szCs w:val="28"/>
        </w:rPr>
        <w:t>придания водонепроницаемости древесно-стружечным плитам;</w:t>
      </w:r>
    </w:p>
    <w:p w14:paraId="416791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2"/>
          <w:szCs w:val="22"/>
          <w:lang w:val="en-US"/>
        </w:rPr>
        <w:t>-</w:t>
      </w:r>
      <w:r>
        <w:rPr>
          <w:rFonts w:ascii="Times New Roman CYR" w:hAnsi="Times New Roman CYR" w:cs="Times New Roman CYR"/>
          <w:kern w:val="0"/>
          <w:sz w:val="22"/>
          <w:szCs w:val="22"/>
          <w:lang w:val="en-US"/>
        </w:rPr>
        <w:tab/>
      </w:r>
      <w:r>
        <w:rPr>
          <w:rFonts w:ascii="Times New Roman CYR" w:hAnsi="Times New Roman CYR" w:cs="Times New Roman CYR"/>
          <w:kern w:val="0"/>
          <w:sz w:val="28"/>
          <w:szCs w:val="28"/>
          <w:lang w:val="en-US"/>
        </w:rPr>
        <w:t>пропитки бумаги и картона</w:t>
      </w:r>
      <w:r>
        <w:rPr>
          <w:rFonts w:ascii="Times New Roman CYR" w:hAnsi="Times New Roman CYR" w:cs="Times New Roman CYR"/>
          <w:kern w:val="0"/>
          <w:sz w:val="28"/>
          <w:szCs w:val="28"/>
        </w:rPr>
        <w:t>;</w:t>
      </w:r>
    </w:p>
    <w:p w14:paraId="3D5304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2"/>
          <w:szCs w:val="22"/>
          <w:lang w:val="en-US"/>
        </w:rPr>
        <w:t>-</w:t>
      </w:r>
      <w:r>
        <w:rPr>
          <w:rFonts w:ascii="Times New Roman CYR" w:hAnsi="Times New Roman CYR" w:cs="Times New Roman CYR"/>
          <w:kern w:val="0"/>
          <w:sz w:val="22"/>
          <w:szCs w:val="22"/>
          <w:lang w:val="en-US"/>
        </w:rPr>
        <w:tab/>
      </w:r>
      <w:r>
        <w:rPr>
          <w:rFonts w:ascii="Times New Roman CYR" w:hAnsi="Times New Roman CYR" w:cs="Times New Roman CYR"/>
          <w:kern w:val="0"/>
          <w:sz w:val="28"/>
          <w:szCs w:val="28"/>
          <w:lang w:val="en-US"/>
        </w:rPr>
        <w:t>придания водонепроницаемости волокнам тканей</w:t>
      </w:r>
      <w:r>
        <w:rPr>
          <w:rFonts w:ascii="Times New Roman CYR" w:hAnsi="Times New Roman CYR" w:cs="Times New Roman CYR"/>
          <w:kern w:val="0"/>
          <w:sz w:val="28"/>
          <w:szCs w:val="28"/>
        </w:rPr>
        <w:t>;</w:t>
      </w:r>
    </w:p>
    <w:p w14:paraId="34EE02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2"/>
          <w:szCs w:val="22"/>
        </w:rPr>
        <w:t>-</w:t>
      </w:r>
      <w:r>
        <w:rPr>
          <w:rFonts w:ascii="Times New Roman CYR" w:hAnsi="Times New Roman CYR" w:cs="Times New Roman CYR"/>
          <w:kern w:val="0"/>
          <w:sz w:val="22"/>
          <w:szCs w:val="22"/>
        </w:rPr>
        <w:tab/>
      </w:r>
      <w:r>
        <w:rPr>
          <w:rFonts w:ascii="Times New Roman CYR" w:hAnsi="Times New Roman CYR" w:cs="Times New Roman CYR"/>
          <w:kern w:val="0"/>
          <w:sz w:val="28"/>
          <w:szCs w:val="28"/>
        </w:rPr>
        <w:t>защиты полов, кузовов автомобилей и мебели;</w:t>
      </w:r>
    </w:p>
    <w:p w14:paraId="29F30E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2"/>
          <w:szCs w:val="22"/>
          <w:lang w:val="en-US"/>
        </w:rPr>
        <w:t>-</w:t>
      </w:r>
      <w:r>
        <w:rPr>
          <w:rFonts w:ascii="Times New Roman CYR" w:hAnsi="Times New Roman CYR" w:cs="Times New Roman CYR"/>
          <w:kern w:val="0"/>
          <w:sz w:val="22"/>
          <w:szCs w:val="22"/>
          <w:lang w:val="en-US"/>
        </w:rPr>
        <w:tab/>
      </w:r>
      <w:r>
        <w:rPr>
          <w:rFonts w:ascii="Times New Roman CYR" w:hAnsi="Times New Roman CYR" w:cs="Times New Roman CYR"/>
          <w:kern w:val="0"/>
          <w:sz w:val="28"/>
          <w:szCs w:val="28"/>
          <w:lang w:val="en-US"/>
        </w:rPr>
        <w:t>покрытия фруктов и овощей.</w:t>
      </w:r>
    </w:p>
    <w:p w14:paraId="6C8E53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Восковые эмульсии находят наибольшее применение в производстве древесно-стружечных плит и панелей. Восковые эмульсии добавляют к суспензии древесных волокон в воде. Для эффективного использования восковой эмульсии при покрытии различных древесных материалов необходимо предварительно подготовить поверхность, путем нанесения на нее квасцов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rPr>
        <w:t>4)3.18</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и/или канифоли, которые будут выполнять сцепляющие функции. При этом присутствие канифоли или квасцов не будет обеспечивать нейтральную систему на поверхности. Важность обеспечения </w:t>
      </w:r>
      <w:r>
        <w:rPr>
          <w:rFonts w:ascii="Times New Roman CYR" w:hAnsi="Times New Roman CYR" w:cs="Times New Roman CYR"/>
          <w:kern w:val="0"/>
          <w:sz w:val="28"/>
          <w:szCs w:val="28"/>
        </w:rPr>
        <w:lastRenderedPageBreak/>
        <w:t>нейтральной системы при нанесении частиц восковой эмульсии на поверхность, например при покрытии целлюлозно-бумажных материалов, исходит из факта, что нейтральная система позволяет избежать негативного коррозионного влияния на шлифовальную ленту. Поэтому необходимо часть указанных квасцов и канифоли заменить на катионный агент, содержащий сложную соль амина, для обеспечения максимальной эффективности использования эмульсии при покрытии поверхности. Нанесение восковой эмульсии на поверхность следует за применением катионного агента. Было установлено, что если предварительно смешать эмульсию и катионный агент, и потом смесь наносить на поверхность, то, во-первых, в эмульсии сразу же образуются нежелательные глобулы, а во-вторых, поверхность после нанесения неровная и негладкая, что говорит о неравномерном распределении частиц парафина на поверхности. Таким образом, сначала наносится незначительное количество катионного агента, затем поверхность покрывается эмульсией, и после этого наносится оставшееся количество агента. Такая процедура может быть использована для облегчения сцепления восковой эмульсии с поверхностью. Проведение нанесения покрытия эмульсией поверхности обеспечивает также равномерное распределение частиц парафина.</w:t>
      </w:r>
    </w:p>
    <w:p w14:paraId="2B267B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 осаждения частиц парафиновой эмульсий и смолы, вода высушивается прессованием при нагревании для образования конечной древесной плиты.</w:t>
      </w:r>
    </w:p>
    <w:p w14:paraId="7E5E4A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производстве восковых эмульсий для применения в производстве древесно-стружечных плит, можно использовать низкосортные восковые компоненты, такие как нефтяные гачи и петролатумы. Эти продукты гораздо дешевле, чем высокоочищенный воск, но содержат большое количество масла [до 30% масс.]. Использование таких восковых продуктов может снижать водоотталкивающие свойства эмульсии.</w:t>
      </w:r>
    </w:p>
    <w:p w14:paraId="02669D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придания пожаробезопасных (противопожарных) свойств древесным </w:t>
      </w:r>
      <w:r>
        <w:rPr>
          <w:rFonts w:ascii="Times New Roman CYR" w:hAnsi="Times New Roman CYR" w:cs="Times New Roman CYR"/>
          <w:kern w:val="0"/>
          <w:sz w:val="28"/>
          <w:szCs w:val="28"/>
        </w:rPr>
        <w:lastRenderedPageBreak/>
        <w:t>плитам, а также защиты от насекомых в восковые эмульсии могут быть добавлены соединения меди или хрома. В производстве древесно-стружечных плит используют 30-40% эмульсию.</w:t>
      </w:r>
    </w:p>
    <w:p w14:paraId="35C7BE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Восковые эмульсии, используемые в текстильной промышленности для придания водоотталкивающих свойств волокнам, должны содержать не менее 50% по массе воскового компонента.</w:t>
      </w:r>
    </w:p>
    <w:p w14:paraId="4AEA4B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производстве фармацевтических препаратов и косметики, а также для покрытия фруктов и овощей используют эмульсии на основе только высоко рафинированных восков, которые соответствуют санитарно-гигиеническим требованиям в отношении содержания полиароматических углеводородов.</w:t>
      </w:r>
    </w:p>
    <w:p w14:paraId="196863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работе изучена возможность использования восковых эмульсий в качестве добавки к бетонам. Указывается, что восковая эмульсия содержит 20 - 30% парафина с температурой плавления 57-60</w:t>
      </w:r>
      <w:r>
        <w:rPr>
          <w:rFonts w:ascii="Times New Roman" w:hAnsi="Times New Roman" w:cs="Times New Roman"/>
          <w:kern w:val="0"/>
          <w:sz w:val="28"/>
          <w:szCs w:val="28"/>
        </w:rPr>
        <w:t>º</w:t>
      </w:r>
      <w:r>
        <w:rPr>
          <w:rFonts w:ascii="Times New Roman CYR" w:hAnsi="Times New Roman CYR" w:cs="Times New Roman CYR"/>
          <w:kern w:val="0"/>
          <w:sz w:val="28"/>
          <w:szCs w:val="28"/>
        </w:rPr>
        <w:t>С и размером частиц до 1 мкм. При введении восковых эмульсий происходит осаждение частиц парафина на поверхности пор и капилляров, образуя их гидрофобное покрытие. Оптимальная концентрация добавки составляет 0,1 - 0,5% от массы цемента, так как при ее увеличения происходит снижение прочности цемента. Низкая концентрация частиц дисперсной фазы, а также малая дозировка эмульсии ограничивает содержание гидрофобизирующего агента, парафина, и поэтому не способствует эффективной гидрофобизации порового пространства бетона. Кроме того, отмечается быстрая потеря стабильности эмульсий при хранении.</w:t>
      </w:r>
    </w:p>
    <w:p w14:paraId="54B1CD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несмотря на значительный объем исследований в области изучения процессов приготовления восковых эмульсий, их свойств и особенностей применения, их практическая значимость снижается из-за ряда факторов, к важнейшим из которых следует отнести следующие.</w:t>
      </w:r>
    </w:p>
    <w:p w14:paraId="44268A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Большинство восковых эмульсий были приготовлены с использованием высокоочищенных парафинов, содержащих до 95% масс. н-алканов. Такие эмульсии играют огромною роль в теоретических </w:t>
      </w:r>
      <w:r>
        <w:rPr>
          <w:rFonts w:ascii="Times New Roman CYR" w:hAnsi="Times New Roman CYR" w:cs="Times New Roman CYR"/>
          <w:kern w:val="0"/>
          <w:sz w:val="28"/>
          <w:szCs w:val="28"/>
        </w:rPr>
        <w:lastRenderedPageBreak/>
        <w:t>исследованиях, но с практической точки зрения они не находят широкого применения из-за высокой стоимости основного компонента и трудностей его выделения из нефтяного сырья.</w:t>
      </w:r>
    </w:p>
    <w:p w14:paraId="159C8E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При приготовлении восковых эмульсий в качестве дисперсионной среды использовали дистиллированную и деионизированную воду, что не позволяет в полной мере смоделировать промышленный процесс приготовления.</w:t>
      </w:r>
    </w:p>
    <w:p w14:paraId="321730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Значительная часть восковых эмульсий была приготовлена с использованием дефицитных и дорогостоящих эмульгаторов и добавок, что с экономической точки зрения не всегда эффективно и может ограничить их промышленное применение.</w:t>
      </w:r>
    </w:p>
    <w:p w14:paraId="3EA277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При изучении областей применения восковых эмульсий и их влияния на свойства конечных материалов, наибольшее внимание уделено деревообрабатывающей и целлюлозно-бумажной промышленностям. Возможность использования восковых эмульсий в качестве добавки к другим материалам, таким как цементные растворы и бетоны, практически не проводились, или не дали значимых результатов.</w:t>
      </w:r>
    </w:p>
    <w:p w14:paraId="79DE36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Исходя из изложенного выше, определены следующие задачи диссертации:</w:t>
      </w:r>
    </w:p>
    <w:p w14:paraId="5CE184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на основе различных промышленных нефтяных восков, получить эмульсии, которые оставались бы стабильными во времени, при разбавлении и под влиянием различных внешних воздействий;</w:t>
      </w:r>
    </w:p>
    <w:p w14:paraId="52A2BC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подобрать эффективный, недорогой и недефицитный эмульгатор (или их смесь), обеспечивающий сохранение основных свойств восковой эмульсии под влиянием различных факторов;</w:t>
      </w:r>
    </w:p>
    <w:p w14:paraId="482409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исследовать основные физико-химические свойства полученных эмульсий и оценить факторы, оказывающие влияние на их свойства;</w:t>
      </w:r>
    </w:p>
    <w:p w14:paraId="2984B4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предложить способ приготовления восковых эмульсий на основе </w:t>
      </w:r>
      <w:r>
        <w:rPr>
          <w:rFonts w:ascii="Times New Roman CYR" w:hAnsi="Times New Roman CYR" w:cs="Times New Roman CYR"/>
          <w:kern w:val="0"/>
          <w:sz w:val="28"/>
          <w:szCs w:val="28"/>
        </w:rPr>
        <w:lastRenderedPageBreak/>
        <w:t>нефтяных восков различных типов и изучить влияние основных параметров технологического режима на свойства полученных эмульсий;</w:t>
      </w:r>
    </w:p>
    <w:p w14:paraId="630F2A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исследовать возможность использования одной из полученных восковых эмульсий в качестве гидрофобно-пластифицирующей добавки к бетонным смесям и проанализировать изменение основных свойств бетонов, в частности, прочность и водонепроницаемость.</w:t>
      </w:r>
    </w:p>
    <w:p w14:paraId="57EB34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4EB2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Парафины</w:t>
      </w:r>
    </w:p>
    <w:p w14:paraId="672839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35FA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производстве восковых эмульсий используются нефтяные воски (ВН), выпускаемые основными производителями России и стран СНГ. Основные физико-химические свойства и групповой химический состав нефтяных восков представлены в табл. 1</w:t>
      </w:r>
    </w:p>
    <w:p w14:paraId="6ADD6C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A78F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 Основные показатели качества нефтяных восков различного происхождения (ВН1 - ВН18)</w:t>
      </w:r>
    </w:p>
    <w:tbl>
      <w:tblPr>
        <w:tblW w:w="0" w:type="auto"/>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95"/>
        <w:gridCol w:w="594"/>
        <w:gridCol w:w="454"/>
        <w:gridCol w:w="440"/>
        <w:gridCol w:w="305"/>
        <w:gridCol w:w="389"/>
        <w:gridCol w:w="291"/>
        <w:gridCol w:w="414"/>
        <w:gridCol w:w="294"/>
        <w:gridCol w:w="415"/>
        <w:gridCol w:w="179"/>
        <w:gridCol w:w="530"/>
        <w:gridCol w:w="150"/>
        <w:gridCol w:w="559"/>
        <w:gridCol w:w="326"/>
        <w:gridCol w:w="382"/>
        <w:gridCol w:w="294"/>
        <w:gridCol w:w="415"/>
        <w:gridCol w:w="709"/>
      </w:tblGrid>
      <w:tr w:rsidR="00000000" w14:paraId="72609ED1" w14:textId="77777777">
        <w:tblPrEx>
          <w:tblCellMar>
            <w:top w:w="0" w:type="dxa"/>
            <w:bottom w:w="0" w:type="dxa"/>
          </w:tblCellMar>
        </w:tblPrEx>
        <w:tc>
          <w:tcPr>
            <w:tcW w:w="2943" w:type="dxa"/>
            <w:gridSpan w:val="3"/>
            <w:tcBorders>
              <w:top w:val="single" w:sz="6" w:space="0" w:color="auto"/>
              <w:left w:val="single" w:sz="6" w:space="0" w:color="auto"/>
              <w:bottom w:val="single" w:sz="6" w:space="0" w:color="auto"/>
              <w:right w:val="single" w:sz="6" w:space="0" w:color="auto"/>
            </w:tcBorders>
          </w:tcPr>
          <w:p w14:paraId="76276A9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Тип нефтяного воска</w:t>
            </w:r>
          </w:p>
        </w:tc>
        <w:tc>
          <w:tcPr>
            <w:tcW w:w="1425" w:type="dxa"/>
            <w:gridSpan w:val="4"/>
            <w:tcBorders>
              <w:top w:val="single" w:sz="6" w:space="0" w:color="auto"/>
              <w:left w:val="single" w:sz="6" w:space="0" w:color="auto"/>
              <w:bottom w:val="single" w:sz="6" w:space="0" w:color="auto"/>
              <w:right w:val="single" w:sz="6" w:space="0" w:color="auto"/>
            </w:tcBorders>
          </w:tcPr>
          <w:p w14:paraId="61311BA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Парафины марки П2</w:t>
            </w:r>
          </w:p>
        </w:tc>
        <w:tc>
          <w:tcPr>
            <w:tcW w:w="2867" w:type="dxa"/>
            <w:gridSpan w:val="8"/>
            <w:tcBorders>
              <w:top w:val="single" w:sz="6" w:space="0" w:color="auto"/>
              <w:left w:val="single" w:sz="6" w:space="0" w:color="auto"/>
              <w:bottom w:val="single" w:sz="6" w:space="0" w:color="auto"/>
              <w:right w:val="single" w:sz="6" w:space="0" w:color="auto"/>
            </w:tcBorders>
          </w:tcPr>
          <w:p w14:paraId="33FE34E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Парафины марки НС</w:t>
            </w:r>
          </w:p>
        </w:tc>
        <w:tc>
          <w:tcPr>
            <w:tcW w:w="1800" w:type="dxa"/>
            <w:gridSpan w:val="4"/>
            <w:tcBorders>
              <w:top w:val="single" w:sz="6" w:space="0" w:color="auto"/>
              <w:left w:val="single" w:sz="6" w:space="0" w:color="auto"/>
              <w:bottom w:val="single" w:sz="6" w:space="0" w:color="auto"/>
              <w:right w:val="single" w:sz="6" w:space="0" w:color="auto"/>
            </w:tcBorders>
          </w:tcPr>
          <w:p w14:paraId="3A41337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Гачи депарафинизации</w:t>
            </w:r>
          </w:p>
        </w:tc>
      </w:tr>
      <w:tr w:rsidR="00000000" w14:paraId="6F9449BA" w14:textId="77777777">
        <w:tblPrEx>
          <w:tblCellMar>
            <w:top w:w="0" w:type="dxa"/>
            <w:bottom w:w="0" w:type="dxa"/>
          </w:tblCellMar>
        </w:tblPrEx>
        <w:tc>
          <w:tcPr>
            <w:tcW w:w="2943" w:type="dxa"/>
            <w:gridSpan w:val="3"/>
            <w:tcBorders>
              <w:top w:val="single" w:sz="6" w:space="0" w:color="auto"/>
              <w:left w:val="single" w:sz="6" w:space="0" w:color="auto"/>
              <w:bottom w:val="single" w:sz="6" w:space="0" w:color="auto"/>
              <w:right w:val="single" w:sz="6" w:space="0" w:color="auto"/>
            </w:tcBorders>
          </w:tcPr>
          <w:p w14:paraId="7FB9AD6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745" w:type="dxa"/>
            <w:gridSpan w:val="2"/>
            <w:tcBorders>
              <w:top w:val="single" w:sz="6" w:space="0" w:color="auto"/>
              <w:left w:val="single" w:sz="6" w:space="0" w:color="auto"/>
              <w:bottom w:val="single" w:sz="6" w:space="0" w:color="auto"/>
              <w:right w:val="single" w:sz="6" w:space="0" w:color="auto"/>
            </w:tcBorders>
          </w:tcPr>
          <w:p w14:paraId="113E8E2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ВН1</w:t>
            </w:r>
          </w:p>
        </w:tc>
        <w:tc>
          <w:tcPr>
            <w:tcW w:w="680" w:type="dxa"/>
            <w:gridSpan w:val="2"/>
            <w:tcBorders>
              <w:top w:val="single" w:sz="6" w:space="0" w:color="auto"/>
              <w:left w:val="single" w:sz="6" w:space="0" w:color="auto"/>
              <w:bottom w:val="single" w:sz="6" w:space="0" w:color="auto"/>
              <w:right w:val="single" w:sz="6" w:space="0" w:color="auto"/>
            </w:tcBorders>
          </w:tcPr>
          <w:p w14:paraId="27E0557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ВН2</w:t>
            </w:r>
          </w:p>
        </w:tc>
        <w:tc>
          <w:tcPr>
            <w:tcW w:w="708" w:type="dxa"/>
            <w:gridSpan w:val="2"/>
            <w:tcBorders>
              <w:top w:val="single" w:sz="6" w:space="0" w:color="auto"/>
              <w:left w:val="single" w:sz="6" w:space="0" w:color="auto"/>
              <w:bottom w:val="single" w:sz="6" w:space="0" w:color="auto"/>
              <w:right w:val="single" w:sz="6" w:space="0" w:color="auto"/>
            </w:tcBorders>
          </w:tcPr>
          <w:p w14:paraId="643CAF1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ВН3</w:t>
            </w:r>
          </w:p>
        </w:tc>
        <w:tc>
          <w:tcPr>
            <w:tcW w:w="594" w:type="dxa"/>
            <w:gridSpan w:val="2"/>
            <w:tcBorders>
              <w:top w:val="single" w:sz="6" w:space="0" w:color="auto"/>
              <w:left w:val="single" w:sz="6" w:space="0" w:color="auto"/>
              <w:bottom w:val="single" w:sz="6" w:space="0" w:color="auto"/>
              <w:right w:val="single" w:sz="6" w:space="0" w:color="auto"/>
            </w:tcBorders>
          </w:tcPr>
          <w:p w14:paraId="071704C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ВН4</w:t>
            </w:r>
          </w:p>
        </w:tc>
        <w:tc>
          <w:tcPr>
            <w:tcW w:w="680" w:type="dxa"/>
            <w:gridSpan w:val="2"/>
            <w:tcBorders>
              <w:top w:val="single" w:sz="6" w:space="0" w:color="auto"/>
              <w:left w:val="single" w:sz="6" w:space="0" w:color="auto"/>
              <w:bottom w:val="single" w:sz="6" w:space="0" w:color="auto"/>
              <w:right w:val="single" w:sz="6" w:space="0" w:color="auto"/>
            </w:tcBorders>
          </w:tcPr>
          <w:p w14:paraId="191E982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ВН5</w:t>
            </w:r>
          </w:p>
        </w:tc>
        <w:tc>
          <w:tcPr>
            <w:tcW w:w="885" w:type="dxa"/>
            <w:gridSpan w:val="2"/>
            <w:tcBorders>
              <w:top w:val="single" w:sz="6" w:space="0" w:color="auto"/>
              <w:left w:val="single" w:sz="6" w:space="0" w:color="auto"/>
              <w:bottom w:val="single" w:sz="6" w:space="0" w:color="auto"/>
              <w:right w:val="single" w:sz="6" w:space="0" w:color="auto"/>
            </w:tcBorders>
          </w:tcPr>
          <w:p w14:paraId="45BF54C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ВН6*</w:t>
            </w:r>
          </w:p>
        </w:tc>
        <w:tc>
          <w:tcPr>
            <w:tcW w:w="676" w:type="dxa"/>
            <w:gridSpan w:val="2"/>
            <w:tcBorders>
              <w:top w:val="single" w:sz="6" w:space="0" w:color="auto"/>
              <w:left w:val="single" w:sz="6" w:space="0" w:color="auto"/>
              <w:bottom w:val="single" w:sz="6" w:space="0" w:color="auto"/>
              <w:right w:val="single" w:sz="6" w:space="0" w:color="auto"/>
            </w:tcBorders>
          </w:tcPr>
          <w:p w14:paraId="5823220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ВН7</w:t>
            </w:r>
          </w:p>
        </w:tc>
        <w:tc>
          <w:tcPr>
            <w:tcW w:w="1124" w:type="dxa"/>
            <w:gridSpan w:val="2"/>
            <w:tcBorders>
              <w:top w:val="single" w:sz="6" w:space="0" w:color="auto"/>
              <w:left w:val="single" w:sz="6" w:space="0" w:color="auto"/>
              <w:bottom w:val="single" w:sz="6" w:space="0" w:color="auto"/>
              <w:right w:val="single" w:sz="6" w:space="0" w:color="auto"/>
            </w:tcBorders>
          </w:tcPr>
          <w:p w14:paraId="56DCCC3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ВН8</w:t>
            </w:r>
          </w:p>
        </w:tc>
      </w:tr>
      <w:tr w:rsidR="00000000" w14:paraId="7B31D8A3" w14:textId="77777777">
        <w:tblPrEx>
          <w:tblCellMar>
            <w:top w:w="0" w:type="dxa"/>
            <w:bottom w:w="0" w:type="dxa"/>
          </w:tblCellMar>
        </w:tblPrEx>
        <w:tc>
          <w:tcPr>
            <w:tcW w:w="2943" w:type="dxa"/>
            <w:gridSpan w:val="3"/>
            <w:tcBorders>
              <w:top w:val="single" w:sz="6" w:space="0" w:color="auto"/>
              <w:left w:val="single" w:sz="6" w:space="0" w:color="auto"/>
              <w:bottom w:val="single" w:sz="6" w:space="0" w:color="auto"/>
              <w:right w:val="single" w:sz="6" w:space="0" w:color="auto"/>
            </w:tcBorders>
          </w:tcPr>
          <w:p w14:paraId="26DD514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Свойства нефтяных восков:</w:t>
            </w:r>
          </w:p>
        </w:tc>
        <w:tc>
          <w:tcPr>
            <w:tcW w:w="4292" w:type="dxa"/>
            <w:gridSpan w:val="12"/>
            <w:tcBorders>
              <w:top w:val="single" w:sz="6" w:space="0" w:color="auto"/>
              <w:left w:val="single" w:sz="6" w:space="0" w:color="auto"/>
              <w:bottom w:val="single" w:sz="6" w:space="0" w:color="auto"/>
              <w:right w:val="single" w:sz="6" w:space="0" w:color="auto"/>
            </w:tcBorders>
          </w:tcPr>
          <w:p w14:paraId="1384734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800" w:type="dxa"/>
            <w:gridSpan w:val="4"/>
            <w:tcBorders>
              <w:top w:val="single" w:sz="6" w:space="0" w:color="auto"/>
              <w:left w:val="single" w:sz="6" w:space="0" w:color="auto"/>
              <w:bottom w:val="single" w:sz="6" w:space="0" w:color="auto"/>
              <w:right w:val="single" w:sz="6" w:space="0" w:color="auto"/>
            </w:tcBorders>
          </w:tcPr>
          <w:p w14:paraId="5B482EA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средневязкий дистиллят</w:t>
            </w:r>
          </w:p>
        </w:tc>
      </w:tr>
      <w:tr w:rsidR="00000000" w14:paraId="2E2D6699" w14:textId="77777777">
        <w:tblPrEx>
          <w:tblCellMar>
            <w:top w:w="0" w:type="dxa"/>
            <w:bottom w:w="0" w:type="dxa"/>
          </w:tblCellMar>
        </w:tblPrEx>
        <w:tc>
          <w:tcPr>
            <w:tcW w:w="2943" w:type="dxa"/>
            <w:gridSpan w:val="3"/>
            <w:tcBorders>
              <w:top w:val="single" w:sz="6" w:space="0" w:color="auto"/>
              <w:left w:val="single" w:sz="6" w:space="0" w:color="auto"/>
              <w:bottom w:val="single" w:sz="6" w:space="0" w:color="auto"/>
              <w:right w:val="single" w:sz="6" w:space="0" w:color="auto"/>
            </w:tcBorders>
          </w:tcPr>
          <w:p w14:paraId="4250D29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плавления, °С</w:t>
            </w:r>
          </w:p>
        </w:tc>
        <w:tc>
          <w:tcPr>
            <w:tcW w:w="745" w:type="dxa"/>
            <w:gridSpan w:val="2"/>
            <w:tcBorders>
              <w:top w:val="single" w:sz="6" w:space="0" w:color="auto"/>
              <w:left w:val="single" w:sz="6" w:space="0" w:color="auto"/>
              <w:bottom w:val="single" w:sz="6" w:space="0" w:color="auto"/>
              <w:right w:val="single" w:sz="6" w:space="0" w:color="auto"/>
            </w:tcBorders>
          </w:tcPr>
          <w:p w14:paraId="31AC8C0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54,1</w:t>
            </w:r>
          </w:p>
        </w:tc>
        <w:tc>
          <w:tcPr>
            <w:tcW w:w="680" w:type="dxa"/>
            <w:gridSpan w:val="2"/>
            <w:tcBorders>
              <w:top w:val="single" w:sz="6" w:space="0" w:color="auto"/>
              <w:left w:val="single" w:sz="6" w:space="0" w:color="auto"/>
              <w:bottom w:val="single" w:sz="6" w:space="0" w:color="auto"/>
              <w:right w:val="single" w:sz="6" w:space="0" w:color="auto"/>
            </w:tcBorders>
          </w:tcPr>
          <w:p w14:paraId="4383DA5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54,4</w:t>
            </w:r>
          </w:p>
        </w:tc>
        <w:tc>
          <w:tcPr>
            <w:tcW w:w="708" w:type="dxa"/>
            <w:gridSpan w:val="2"/>
            <w:tcBorders>
              <w:top w:val="single" w:sz="6" w:space="0" w:color="auto"/>
              <w:left w:val="single" w:sz="6" w:space="0" w:color="auto"/>
              <w:bottom w:val="single" w:sz="6" w:space="0" w:color="auto"/>
              <w:right w:val="single" w:sz="6" w:space="0" w:color="auto"/>
            </w:tcBorders>
          </w:tcPr>
          <w:p w14:paraId="345BABC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51,2</w:t>
            </w:r>
          </w:p>
        </w:tc>
        <w:tc>
          <w:tcPr>
            <w:tcW w:w="594" w:type="dxa"/>
            <w:gridSpan w:val="2"/>
            <w:tcBorders>
              <w:top w:val="single" w:sz="6" w:space="0" w:color="auto"/>
              <w:left w:val="single" w:sz="6" w:space="0" w:color="auto"/>
              <w:bottom w:val="single" w:sz="6" w:space="0" w:color="auto"/>
              <w:right w:val="single" w:sz="6" w:space="0" w:color="auto"/>
            </w:tcBorders>
          </w:tcPr>
          <w:p w14:paraId="3BDA7E7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54,8</w:t>
            </w:r>
          </w:p>
        </w:tc>
        <w:tc>
          <w:tcPr>
            <w:tcW w:w="680" w:type="dxa"/>
            <w:gridSpan w:val="2"/>
            <w:tcBorders>
              <w:top w:val="single" w:sz="6" w:space="0" w:color="auto"/>
              <w:left w:val="single" w:sz="6" w:space="0" w:color="auto"/>
              <w:bottom w:val="single" w:sz="6" w:space="0" w:color="auto"/>
              <w:right w:val="single" w:sz="6" w:space="0" w:color="auto"/>
            </w:tcBorders>
          </w:tcPr>
          <w:p w14:paraId="4831538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54,0</w:t>
            </w:r>
          </w:p>
        </w:tc>
        <w:tc>
          <w:tcPr>
            <w:tcW w:w="885" w:type="dxa"/>
            <w:gridSpan w:val="2"/>
            <w:tcBorders>
              <w:top w:val="single" w:sz="6" w:space="0" w:color="auto"/>
              <w:left w:val="single" w:sz="6" w:space="0" w:color="auto"/>
              <w:bottom w:val="single" w:sz="6" w:space="0" w:color="auto"/>
              <w:right w:val="single" w:sz="6" w:space="0" w:color="auto"/>
            </w:tcBorders>
          </w:tcPr>
          <w:p w14:paraId="275EF8E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51,2</w:t>
            </w:r>
          </w:p>
        </w:tc>
        <w:tc>
          <w:tcPr>
            <w:tcW w:w="676" w:type="dxa"/>
            <w:gridSpan w:val="2"/>
            <w:tcBorders>
              <w:top w:val="single" w:sz="6" w:space="0" w:color="auto"/>
              <w:left w:val="single" w:sz="6" w:space="0" w:color="auto"/>
              <w:bottom w:val="single" w:sz="6" w:space="0" w:color="auto"/>
              <w:right w:val="single" w:sz="6" w:space="0" w:color="auto"/>
            </w:tcBorders>
          </w:tcPr>
          <w:p w14:paraId="0180787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50,1</w:t>
            </w:r>
          </w:p>
        </w:tc>
        <w:tc>
          <w:tcPr>
            <w:tcW w:w="1124" w:type="dxa"/>
            <w:gridSpan w:val="2"/>
            <w:tcBorders>
              <w:top w:val="single" w:sz="6" w:space="0" w:color="auto"/>
              <w:left w:val="single" w:sz="6" w:space="0" w:color="auto"/>
              <w:bottom w:val="single" w:sz="6" w:space="0" w:color="auto"/>
              <w:right w:val="single" w:sz="6" w:space="0" w:color="auto"/>
            </w:tcBorders>
          </w:tcPr>
          <w:p w14:paraId="389B057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52,0</w:t>
            </w:r>
          </w:p>
        </w:tc>
      </w:tr>
      <w:tr w:rsidR="00000000" w14:paraId="4B574704" w14:textId="77777777">
        <w:tblPrEx>
          <w:tblCellMar>
            <w:top w:w="0" w:type="dxa"/>
            <w:bottom w:w="0" w:type="dxa"/>
          </w:tblCellMar>
        </w:tblPrEx>
        <w:tc>
          <w:tcPr>
            <w:tcW w:w="2943" w:type="dxa"/>
            <w:gridSpan w:val="3"/>
            <w:tcBorders>
              <w:top w:val="single" w:sz="6" w:space="0" w:color="auto"/>
              <w:left w:val="single" w:sz="6" w:space="0" w:color="auto"/>
              <w:bottom w:val="single" w:sz="6" w:space="0" w:color="auto"/>
              <w:right w:val="single" w:sz="6" w:space="0" w:color="auto"/>
            </w:tcBorders>
          </w:tcPr>
          <w:p w14:paraId="1EC5BBA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Содержание масла, % мас.</w:t>
            </w:r>
          </w:p>
        </w:tc>
        <w:tc>
          <w:tcPr>
            <w:tcW w:w="745" w:type="dxa"/>
            <w:gridSpan w:val="2"/>
            <w:tcBorders>
              <w:top w:val="single" w:sz="6" w:space="0" w:color="auto"/>
              <w:left w:val="single" w:sz="6" w:space="0" w:color="auto"/>
              <w:bottom w:val="single" w:sz="6" w:space="0" w:color="auto"/>
              <w:right w:val="single" w:sz="6" w:space="0" w:color="auto"/>
            </w:tcBorders>
          </w:tcPr>
          <w:p w14:paraId="22BC8E6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0,65</w:t>
            </w:r>
          </w:p>
        </w:tc>
        <w:tc>
          <w:tcPr>
            <w:tcW w:w="680" w:type="dxa"/>
            <w:gridSpan w:val="2"/>
            <w:tcBorders>
              <w:top w:val="single" w:sz="6" w:space="0" w:color="auto"/>
              <w:left w:val="single" w:sz="6" w:space="0" w:color="auto"/>
              <w:bottom w:val="single" w:sz="6" w:space="0" w:color="auto"/>
              <w:right w:val="single" w:sz="6" w:space="0" w:color="auto"/>
            </w:tcBorders>
          </w:tcPr>
          <w:p w14:paraId="36AF904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0,75</w:t>
            </w:r>
          </w:p>
        </w:tc>
        <w:tc>
          <w:tcPr>
            <w:tcW w:w="708" w:type="dxa"/>
            <w:gridSpan w:val="2"/>
            <w:tcBorders>
              <w:top w:val="single" w:sz="6" w:space="0" w:color="auto"/>
              <w:left w:val="single" w:sz="6" w:space="0" w:color="auto"/>
              <w:bottom w:val="single" w:sz="6" w:space="0" w:color="auto"/>
              <w:right w:val="single" w:sz="6" w:space="0" w:color="auto"/>
            </w:tcBorders>
          </w:tcPr>
          <w:p w14:paraId="083F00F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4,2</w:t>
            </w:r>
          </w:p>
        </w:tc>
        <w:tc>
          <w:tcPr>
            <w:tcW w:w="594" w:type="dxa"/>
            <w:gridSpan w:val="2"/>
            <w:tcBorders>
              <w:top w:val="single" w:sz="6" w:space="0" w:color="auto"/>
              <w:left w:val="single" w:sz="6" w:space="0" w:color="auto"/>
              <w:bottom w:val="single" w:sz="6" w:space="0" w:color="auto"/>
              <w:right w:val="single" w:sz="6" w:space="0" w:color="auto"/>
            </w:tcBorders>
          </w:tcPr>
          <w:p w14:paraId="741498E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w:t>
            </w:r>
          </w:p>
        </w:tc>
        <w:tc>
          <w:tcPr>
            <w:tcW w:w="680" w:type="dxa"/>
            <w:gridSpan w:val="2"/>
            <w:tcBorders>
              <w:top w:val="single" w:sz="6" w:space="0" w:color="auto"/>
              <w:left w:val="single" w:sz="6" w:space="0" w:color="auto"/>
              <w:bottom w:val="single" w:sz="6" w:space="0" w:color="auto"/>
              <w:right w:val="single" w:sz="6" w:space="0" w:color="auto"/>
            </w:tcBorders>
          </w:tcPr>
          <w:p w14:paraId="553BF22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w:t>
            </w:r>
          </w:p>
        </w:tc>
        <w:tc>
          <w:tcPr>
            <w:tcW w:w="885" w:type="dxa"/>
            <w:gridSpan w:val="2"/>
            <w:tcBorders>
              <w:top w:val="single" w:sz="6" w:space="0" w:color="auto"/>
              <w:left w:val="single" w:sz="6" w:space="0" w:color="auto"/>
              <w:bottom w:val="single" w:sz="6" w:space="0" w:color="auto"/>
              <w:right w:val="single" w:sz="6" w:space="0" w:color="auto"/>
            </w:tcBorders>
          </w:tcPr>
          <w:p w14:paraId="77C66AC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w:t>
            </w:r>
          </w:p>
        </w:tc>
        <w:tc>
          <w:tcPr>
            <w:tcW w:w="676" w:type="dxa"/>
            <w:gridSpan w:val="2"/>
            <w:tcBorders>
              <w:top w:val="single" w:sz="6" w:space="0" w:color="auto"/>
              <w:left w:val="single" w:sz="6" w:space="0" w:color="auto"/>
              <w:bottom w:val="single" w:sz="6" w:space="0" w:color="auto"/>
              <w:right w:val="single" w:sz="6" w:space="0" w:color="auto"/>
            </w:tcBorders>
          </w:tcPr>
          <w:p w14:paraId="11FC657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7,8</w:t>
            </w:r>
          </w:p>
        </w:tc>
        <w:tc>
          <w:tcPr>
            <w:tcW w:w="1124" w:type="dxa"/>
            <w:gridSpan w:val="2"/>
            <w:tcBorders>
              <w:top w:val="single" w:sz="6" w:space="0" w:color="auto"/>
              <w:left w:val="single" w:sz="6" w:space="0" w:color="auto"/>
              <w:bottom w:val="single" w:sz="6" w:space="0" w:color="auto"/>
              <w:right w:val="single" w:sz="6" w:space="0" w:color="auto"/>
            </w:tcBorders>
          </w:tcPr>
          <w:p w14:paraId="1ACD26D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9,0</w:t>
            </w:r>
          </w:p>
        </w:tc>
      </w:tr>
      <w:tr w:rsidR="00000000" w14:paraId="4D177139" w14:textId="77777777">
        <w:tblPrEx>
          <w:tblCellMar>
            <w:top w:w="0" w:type="dxa"/>
            <w:bottom w:w="0" w:type="dxa"/>
          </w:tblCellMar>
        </w:tblPrEx>
        <w:tc>
          <w:tcPr>
            <w:tcW w:w="1895" w:type="dxa"/>
            <w:tcBorders>
              <w:top w:val="single" w:sz="6" w:space="0" w:color="auto"/>
              <w:left w:val="single" w:sz="6" w:space="0" w:color="auto"/>
              <w:bottom w:val="single" w:sz="6" w:space="0" w:color="auto"/>
              <w:right w:val="single" w:sz="6" w:space="0" w:color="auto"/>
            </w:tcBorders>
          </w:tcPr>
          <w:p w14:paraId="6E4C408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Тип нефтяного воска</w:t>
            </w:r>
          </w:p>
        </w:tc>
        <w:tc>
          <w:tcPr>
            <w:tcW w:w="4305" w:type="dxa"/>
            <w:gridSpan w:val="11"/>
            <w:tcBorders>
              <w:top w:val="single" w:sz="6" w:space="0" w:color="auto"/>
              <w:left w:val="single" w:sz="6" w:space="0" w:color="auto"/>
              <w:bottom w:val="single" w:sz="6" w:space="0" w:color="auto"/>
              <w:right w:val="single" w:sz="6" w:space="0" w:color="auto"/>
            </w:tcBorders>
          </w:tcPr>
          <w:p w14:paraId="7E54D10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Гачи депарафинизации</w:t>
            </w:r>
          </w:p>
        </w:tc>
        <w:tc>
          <w:tcPr>
            <w:tcW w:w="2835" w:type="dxa"/>
            <w:gridSpan w:val="7"/>
            <w:tcBorders>
              <w:top w:val="single" w:sz="6" w:space="0" w:color="auto"/>
              <w:left w:val="single" w:sz="6" w:space="0" w:color="auto"/>
              <w:bottom w:val="single" w:sz="6" w:space="0" w:color="auto"/>
              <w:right w:val="single" w:sz="6" w:space="0" w:color="auto"/>
            </w:tcBorders>
          </w:tcPr>
          <w:p w14:paraId="16E43D7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Петролатумы</w:t>
            </w:r>
          </w:p>
        </w:tc>
      </w:tr>
      <w:tr w:rsidR="00000000" w14:paraId="7BA22161" w14:textId="77777777">
        <w:tblPrEx>
          <w:tblCellMar>
            <w:top w:w="0" w:type="dxa"/>
            <w:bottom w:w="0" w:type="dxa"/>
          </w:tblCellMar>
        </w:tblPrEx>
        <w:tc>
          <w:tcPr>
            <w:tcW w:w="1895" w:type="dxa"/>
            <w:tcBorders>
              <w:top w:val="single" w:sz="6" w:space="0" w:color="auto"/>
              <w:left w:val="single" w:sz="6" w:space="0" w:color="auto"/>
              <w:bottom w:val="single" w:sz="6" w:space="0" w:color="auto"/>
              <w:right w:val="single" w:sz="6" w:space="0" w:color="auto"/>
            </w:tcBorders>
          </w:tcPr>
          <w:p w14:paraId="175F73D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594" w:type="dxa"/>
            <w:tcBorders>
              <w:top w:val="single" w:sz="6" w:space="0" w:color="auto"/>
              <w:left w:val="single" w:sz="6" w:space="0" w:color="auto"/>
              <w:bottom w:val="single" w:sz="6" w:space="0" w:color="auto"/>
              <w:right w:val="single" w:sz="6" w:space="0" w:color="auto"/>
            </w:tcBorders>
          </w:tcPr>
          <w:p w14:paraId="43ECF58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ВН9</w:t>
            </w:r>
          </w:p>
        </w:tc>
        <w:tc>
          <w:tcPr>
            <w:tcW w:w="894" w:type="dxa"/>
            <w:gridSpan w:val="2"/>
            <w:tcBorders>
              <w:top w:val="single" w:sz="6" w:space="0" w:color="auto"/>
              <w:left w:val="single" w:sz="6" w:space="0" w:color="auto"/>
              <w:bottom w:val="single" w:sz="6" w:space="0" w:color="auto"/>
              <w:right w:val="single" w:sz="6" w:space="0" w:color="auto"/>
            </w:tcBorders>
          </w:tcPr>
          <w:p w14:paraId="7493E26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ВН10**</w:t>
            </w:r>
          </w:p>
        </w:tc>
        <w:tc>
          <w:tcPr>
            <w:tcW w:w="694" w:type="dxa"/>
            <w:gridSpan w:val="2"/>
            <w:tcBorders>
              <w:top w:val="single" w:sz="6" w:space="0" w:color="auto"/>
              <w:left w:val="single" w:sz="6" w:space="0" w:color="auto"/>
              <w:bottom w:val="single" w:sz="6" w:space="0" w:color="auto"/>
              <w:right w:val="single" w:sz="6" w:space="0" w:color="auto"/>
            </w:tcBorders>
          </w:tcPr>
          <w:p w14:paraId="6861899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ВН11</w:t>
            </w:r>
          </w:p>
        </w:tc>
        <w:tc>
          <w:tcPr>
            <w:tcW w:w="705" w:type="dxa"/>
            <w:gridSpan w:val="2"/>
            <w:tcBorders>
              <w:top w:val="single" w:sz="6" w:space="0" w:color="auto"/>
              <w:left w:val="single" w:sz="6" w:space="0" w:color="auto"/>
              <w:bottom w:val="single" w:sz="6" w:space="0" w:color="auto"/>
              <w:right w:val="single" w:sz="6" w:space="0" w:color="auto"/>
            </w:tcBorders>
          </w:tcPr>
          <w:p w14:paraId="00E96A8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ВН12</w:t>
            </w:r>
          </w:p>
        </w:tc>
        <w:tc>
          <w:tcPr>
            <w:tcW w:w="709" w:type="dxa"/>
            <w:gridSpan w:val="2"/>
            <w:tcBorders>
              <w:top w:val="single" w:sz="6" w:space="0" w:color="auto"/>
              <w:left w:val="single" w:sz="6" w:space="0" w:color="auto"/>
              <w:bottom w:val="single" w:sz="6" w:space="0" w:color="auto"/>
              <w:right w:val="single" w:sz="6" w:space="0" w:color="auto"/>
            </w:tcBorders>
          </w:tcPr>
          <w:p w14:paraId="15A7DD9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ВН13</w:t>
            </w:r>
          </w:p>
        </w:tc>
        <w:tc>
          <w:tcPr>
            <w:tcW w:w="709" w:type="dxa"/>
            <w:gridSpan w:val="2"/>
            <w:tcBorders>
              <w:top w:val="single" w:sz="6" w:space="0" w:color="auto"/>
              <w:left w:val="single" w:sz="6" w:space="0" w:color="auto"/>
              <w:bottom w:val="single" w:sz="6" w:space="0" w:color="auto"/>
              <w:right w:val="single" w:sz="6" w:space="0" w:color="auto"/>
            </w:tcBorders>
          </w:tcPr>
          <w:p w14:paraId="63EC8D9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ВН14</w:t>
            </w:r>
          </w:p>
        </w:tc>
        <w:tc>
          <w:tcPr>
            <w:tcW w:w="709" w:type="dxa"/>
            <w:gridSpan w:val="2"/>
            <w:tcBorders>
              <w:top w:val="single" w:sz="6" w:space="0" w:color="auto"/>
              <w:left w:val="single" w:sz="6" w:space="0" w:color="auto"/>
              <w:bottom w:val="single" w:sz="6" w:space="0" w:color="auto"/>
              <w:right w:val="single" w:sz="6" w:space="0" w:color="auto"/>
            </w:tcBorders>
          </w:tcPr>
          <w:p w14:paraId="0500FE3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ВН15</w:t>
            </w:r>
          </w:p>
        </w:tc>
        <w:tc>
          <w:tcPr>
            <w:tcW w:w="708" w:type="dxa"/>
            <w:gridSpan w:val="2"/>
            <w:tcBorders>
              <w:top w:val="single" w:sz="6" w:space="0" w:color="auto"/>
              <w:left w:val="single" w:sz="6" w:space="0" w:color="auto"/>
              <w:bottom w:val="single" w:sz="6" w:space="0" w:color="auto"/>
              <w:right w:val="single" w:sz="6" w:space="0" w:color="auto"/>
            </w:tcBorders>
          </w:tcPr>
          <w:p w14:paraId="122534B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ВН16</w:t>
            </w:r>
          </w:p>
        </w:tc>
        <w:tc>
          <w:tcPr>
            <w:tcW w:w="709" w:type="dxa"/>
            <w:gridSpan w:val="2"/>
            <w:tcBorders>
              <w:top w:val="single" w:sz="6" w:space="0" w:color="auto"/>
              <w:left w:val="single" w:sz="6" w:space="0" w:color="auto"/>
              <w:bottom w:val="single" w:sz="6" w:space="0" w:color="auto"/>
              <w:right w:val="single" w:sz="6" w:space="0" w:color="auto"/>
            </w:tcBorders>
          </w:tcPr>
          <w:p w14:paraId="3862F9F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ВН17</w:t>
            </w:r>
          </w:p>
        </w:tc>
        <w:tc>
          <w:tcPr>
            <w:tcW w:w="709" w:type="dxa"/>
            <w:tcBorders>
              <w:top w:val="single" w:sz="6" w:space="0" w:color="auto"/>
              <w:left w:val="single" w:sz="6" w:space="0" w:color="auto"/>
              <w:bottom w:val="single" w:sz="6" w:space="0" w:color="auto"/>
              <w:right w:val="single" w:sz="6" w:space="0" w:color="auto"/>
            </w:tcBorders>
          </w:tcPr>
          <w:p w14:paraId="481C2AC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ВН18</w:t>
            </w:r>
          </w:p>
        </w:tc>
      </w:tr>
      <w:tr w:rsidR="00000000" w14:paraId="568DB4C5" w14:textId="77777777">
        <w:tblPrEx>
          <w:tblCellMar>
            <w:top w:w="0" w:type="dxa"/>
            <w:bottom w:w="0" w:type="dxa"/>
          </w:tblCellMar>
        </w:tblPrEx>
        <w:tc>
          <w:tcPr>
            <w:tcW w:w="1895" w:type="dxa"/>
            <w:tcBorders>
              <w:top w:val="single" w:sz="6" w:space="0" w:color="auto"/>
              <w:left w:val="single" w:sz="6" w:space="0" w:color="auto"/>
              <w:bottom w:val="single" w:sz="6" w:space="0" w:color="auto"/>
              <w:right w:val="single" w:sz="6" w:space="0" w:color="auto"/>
            </w:tcBorders>
          </w:tcPr>
          <w:p w14:paraId="15E7879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Свойства нефтяных восков:</w:t>
            </w:r>
          </w:p>
        </w:tc>
        <w:tc>
          <w:tcPr>
            <w:tcW w:w="1488" w:type="dxa"/>
            <w:gridSpan w:val="3"/>
            <w:tcBorders>
              <w:top w:val="single" w:sz="6" w:space="0" w:color="auto"/>
              <w:left w:val="single" w:sz="6" w:space="0" w:color="auto"/>
              <w:bottom w:val="single" w:sz="6" w:space="0" w:color="auto"/>
              <w:right w:val="single" w:sz="6" w:space="0" w:color="auto"/>
            </w:tcBorders>
          </w:tcPr>
          <w:p w14:paraId="6E488CE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средневязкий дистиллят</w:t>
            </w:r>
          </w:p>
        </w:tc>
        <w:tc>
          <w:tcPr>
            <w:tcW w:w="2817" w:type="dxa"/>
            <w:gridSpan w:val="8"/>
            <w:tcBorders>
              <w:top w:val="single" w:sz="6" w:space="0" w:color="auto"/>
              <w:left w:val="single" w:sz="6" w:space="0" w:color="auto"/>
              <w:bottom w:val="single" w:sz="6" w:space="0" w:color="auto"/>
              <w:right w:val="single" w:sz="6" w:space="0" w:color="auto"/>
            </w:tcBorders>
          </w:tcPr>
          <w:p w14:paraId="70537CB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Вязкий дистиллят</w:t>
            </w:r>
          </w:p>
        </w:tc>
        <w:tc>
          <w:tcPr>
            <w:tcW w:w="709" w:type="dxa"/>
            <w:gridSpan w:val="2"/>
            <w:tcBorders>
              <w:top w:val="single" w:sz="6" w:space="0" w:color="auto"/>
              <w:left w:val="single" w:sz="6" w:space="0" w:color="auto"/>
              <w:bottom w:val="single" w:sz="6" w:space="0" w:color="auto"/>
              <w:right w:val="single" w:sz="6" w:space="0" w:color="auto"/>
            </w:tcBorders>
          </w:tcPr>
          <w:p w14:paraId="4DE3AAC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708" w:type="dxa"/>
            <w:gridSpan w:val="2"/>
            <w:tcBorders>
              <w:top w:val="single" w:sz="6" w:space="0" w:color="auto"/>
              <w:left w:val="single" w:sz="6" w:space="0" w:color="auto"/>
              <w:bottom w:val="single" w:sz="6" w:space="0" w:color="auto"/>
              <w:right w:val="single" w:sz="6" w:space="0" w:color="auto"/>
            </w:tcBorders>
          </w:tcPr>
          <w:p w14:paraId="321B86B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709" w:type="dxa"/>
            <w:gridSpan w:val="2"/>
            <w:tcBorders>
              <w:top w:val="single" w:sz="6" w:space="0" w:color="auto"/>
              <w:left w:val="single" w:sz="6" w:space="0" w:color="auto"/>
              <w:bottom w:val="single" w:sz="6" w:space="0" w:color="auto"/>
              <w:right w:val="single" w:sz="6" w:space="0" w:color="auto"/>
            </w:tcBorders>
          </w:tcPr>
          <w:p w14:paraId="650BB59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709" w:type="dxa"/>
            <w:tcBorders>
              <w:top w:val="single" w:sz="6" w:space="0" w:color="auto"/>
              <w:left w:val="single" w:sz="6" w:space="0" w:color="auto"/>
              <w:bottom w:val="single" w:sz="6" w:space="0" w:color="auto"/>
              <w:right w:val="single" w:sz="6" w:space="0" w:color="auto"/>
            </w:tcBorders>
          </w:tcPr>
          <w:p w14:paraId="0D42CBB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r>
      <w:tr w:rsidR="00000000" w14:paraId="32716A69" w14:textId="77777777">
        <w:tblPrEx>
          <w:tblCellMar>
            <w:top w:w="0" w:type="dxa"/>
            <w:bottom w:w="0" w:type="dxa"/>
          </w:tblCellMar>
        </w:tblPrEx>
        <w:tc>
          <w:tcPr>
            <w:tcW w:w="1895" w:type="dxa"/>
            <w:tcBorders>
              <w:top w:val="single" w:sz="6" w:space="0" w:color="auto"/>
              <w:left w:val="single" w:sz="6" w:space="0" w:color="auto"/>
              <w:bottom w:val="single" w:sz="6" w:space="0" w:color="auto"/>
              <w:right w:val="single" w:sz="6" w:space="0" w:color="auto"/>
            </w:tcBorders>
          </w:tcPr>
          <w:p w14:paraId="155CD77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плавления, °С</w:t>
            </w:r>
          </w:p>
        </w:tc>
        <w:tc>
          <w:tcPr>
            <w:tcW w:w="594" w:type="dxa"/>
            <w:tcBorders>
              <w:top w:val="single" w:sz="6" w:space="0" w:color="auto"/>
              <w:left w:val="single" w:sz="6" w:space="0" w:color="auto"/>
              <w:bottom w:val="single" w:sz="6" w:space="0" w:color="auto"/>
              <w:right w:val="single" w:sz="6" w:space="0" w:color="auto"/>
            </w:tcBorders>
          </w:tcPr>
          <w:p w14:paraId="25C39BC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51,1</w:t>
            </w:r>
          </w:p>
        </w:tc>
        <w:tc>
          <w:tcPr>
            <w:tcW w:w="894" w:type="dxa"/>
            <w:gridSpan w:val="2"/>
            <w:tcBorders>
              <w:top w:val="single" w:sz="6" w:space="0" w:color="auto"/>
              <w:left w:val="single" w:sz="6" w:space="0" w:color="auto"/>
              <w:bottom w:val="single" w:sz="6" w:space="0" w:color="auto"/>
              <w:right w:val="single" w:sz="6" w:space="0" w:color="auto"/>
            </w:tcBorders>
          </w:tcPr>
          <w:p w14:paraId="5C3C9C3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46,0</w:t>
            </w:r>
          </w:p>
        </w:tc>
        <w:tc>
          <w:tcPr>
            <w:tcW w:w="694" w:type="dxa"/>
            <w:gridSpan w:val="2"/>
            <w:tcBorders>
              <w:top w:val="single" w:sz="6" w:space="0" w:color="auto"/>
              <w:left w:val="single" w:sz="6" w:space="0" w:color="auto"/>
              <w:bottom w:val="single" w:sz="6" w:space="0" w:color="auto"/>
              <w:right w:val="single" w:sz="6" w:space="0" w:color="auto"/>
            </w:tcBorders>
          </w:tcPr>
          <w:p w14:paraId="1C4242F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67,0</w:t>
            </w:r>
          </w:p>
        </w:tc>
        <w:tc>
          <w:tcPr>
            <w:tcW w:w="705" w:type="dxa"/>
            <w:gridSpan w:val="2"/>
            <w:tcBorders>
              <w:top w:val="single" w:sz="6" w:space="0" w:color="auto"/>
              <w:left w:val="single" w:sz="6" w:space="0" w:color="auto"/>
              <w:bottom w:val="single" w:sz="6" w:space="0" w:color="auto"/>
              <w:right w:val="single" w:sz="6" w:space="0" w:color="auto"/>
            </w:tcBorders>
          </w:tcPr>
          <w:p w14:paraId="3510257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64,4</w:t>
            </w:r>
          </w:p>
        </w:tc>
        <w:tc>
          <w:tcPr>
            <w:tcW w:w="709" w:type="dxa"/>
            <w:gridSpan w:val="2"/>
            <w:tcBorders>
              <w:top w:val="single" w:sz="6" w:space="0" w:color="auto"/>
              <w:left w:val="single" w:sz="6" w:space="0" w:color="auto"/>
              <w:bottom w:val="single" w:sz="6" w:space="0" w:color="auto"/>
              <w:right w:val="single" w:sz="6" w:space="0" w:color="auto"/>
            </w:tcBorders>
          </w:tcPr>
          <w:p w14:paraId="477B473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65,1</w:t>
            </w:r>
          </w:p>
        </w:tc>
        <w:tc>
          <w:tcPr>
            <w:tcW w:w="709" w:type="dxa"/>
            <w:gridSpan w:val="2"/>
            <w:tcBorders>
              <w:top w:val="single" w:sz="6" w:space="0" w:color="auto"/>
              <w:left w:val="single" w:sz="6" w:space="0" w:color="auto"/>
              <w:bottom w:val="single" w:sz="6" w:space="0" w:color="auto"/>
              <w:right w:val="single" w:sz="6" w:space="0" w:color="auto"/>
            </w:tcBorders>
          </w:tcPr>
          <w:p w14:paraId="5F67C6C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60,2</w:t>
            </w:r>
          </w:p>
        </w:tc>
        <w:tc>
          <w:tcPr>
            <w:tcW w:w="709" w:type="dxa"/>
            <w:gridSpan w:val="2"/>
            <w:tcBorders>
              <w:top w:val="single" w:sz="6" w:space="0" w:color="auto"/>
              <w:left w:val="single" w:sz="6" w:space="0" w:color="auto"/>
              <w:bottom w:val="single" w:sz="6" w:space="0" w:color="auto"/>
              <w:right w:val="single" w:sz="6" w:space="0" w:color="auto"/>
            </w:tcBorders>
          </w:tcPr>
          <w:p w14:paraId="2B42545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69,2</w:t>
            </w:r>
          </w:p>
        </w:tc>
        <w:tc>
          <w:tcPr>
            <w:tcW w:w="708" w:type="dxa"/>
            <w:gridSpan w:val="2"/>
            <w:tcBorders>
              <w:top w:val="single" w:sz="6" w:space="0" w:color="auto"/>
              <w:left w:val="single" w:sz="6" w:space="0" w:color="auto"/>
              <w:bottom w:val="single" w:sz="6" w:space="0" w:color="auto"/>
              <w:right w:val="single" w:sz="6" w:space="0" w:color="auto"/>
            </w:tcBorders>
          </w:tcPr>
          <w:p w14:paraId="2AA9FAA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67,5</w:t>
            </w:r>
          </w:p>
        </w:tc>
        <w:tc>
          <w:tcPr>
            <w:tcW w:w="709" w:type="dxa"/>
            <w:gridSpan w:val="2"/>
            <w:tcBorders>
              <w:top w:val="single" w:sz="6" w:space="0" w:color="auto"/>
              <w:left w:val="single" w:sz="6" w:space="0" w:color="auto"/>
              <w:bottom w:val="single" w:sz="6" w:space="0" w:color="auto"/>
              <w:right w:val="single" w:sz="6" w:space="0" w:color="auto"/>
            </w:tcBorders>
          </w:tcPr>
          <w:p w14:paraId="56018DD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57,1</w:t>
            </w:r>
          </w:p>
        </w:tc>
        <w:tc>
          <w:tcPr>
            <w:tcW w:w="709" w:type="dxa"/>
            <w:tcBorders>
              <w:top w:val="single" w:sz="6" w:space="0" w:color="auto"/>
              <w:left w:val="single" w:sz="6" w:space="0" w:color="auto"/>
              <w:bottom w:val="single" w:sz="6" w:space="0" w:color="auto"/>
              <w:right w:val="single" w:sz="6" w:space="0" w:color="auto"/>
            </w:tcBorders>
          </w:tcPr>
          <w:p w14:paraId="14AC562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69,1</w:t>
            </w:r>
          </w:p>
        </w:tc>
      </w:tr>
      <w:tr w:rsidR="00000000" w14:paraId="0C2149D4" w14:textId="77777777">
        <w:tblPrEx>
          <w:tblCellMar>
            <w:top w:w="0" w:type="dxa"/>
            <w:bottom w:w="0" w:type="dxa"/>
          </w:tblCellMar>
        </w:tblPrEx>
        <w:tc>
          <w:tcPr>
            <w:tcW w:w="1895" w:type="dxa"/>
            <w:tcBorders>
              <w:top w:val="single" w:sz="6" w:space="0" w:color="auto"/>
              <w:left w:val="single" w:sz="6" w:space="0" w:color="auto"/>
              <w:bottom w:val="single" w:sz="6" w:space="0" w:color="auto"/>
              <w:right w:val="single" w:sz="6" w:space="0" w:color="auto"/>
            </w:tcBorders>
          </w:tcPr>
          <w:p w14:paraId="440C14F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Содержание масла, % мас.</w:t>
            </w:r>
          </w:p>
        </w:tc>
        <w:tc>
          <w:tcPr>
            <w:tcW w:w="594" w:type="dxa"/>
            <w:tcBorders>
              <w:top w:val="single" w:sz="6" w:space="0" w:color="auto"/>
              <w:left w:val="single" w:sz="6" w:space="0" w:color="auto"/>
              <w:bottom w:val="single" w:sz="6" w:space="0" w:color="auto"/>
              <w:right w:val="single" w:sz="6" w:space="0" w:color="auto"/>
            </w:tcBorders>
          </w:tcPr>
          <w:p w14:paraId="1E8DF56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14,6</w:t>
            </w:r>
          </w:p>
        </w:tc>
        <w:tc>
          <w:tcPr>
            <w:tcW w:w="894" w:type="dxa"/>
            <w:gridSpan w:val="2"/>
            <w:tcBorders>
              <w:top w:val="single" w:sz="6" w:space="0" w:color="auto"/>
              <w:left w:val="single" w:sz="6" w:space="0" w:color="auto"/>
              <w:bottom w:val="single" w:sz="6" w:space="0" w:color="auto"/>
              <w:right w:val="single" w:sz="6" w:space="0" w:color="auto"/>
            </w:tcBorders>
          </w:tcPr>
          <w:p w14:paraId="470BE21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19,4</w:t>
            </w:r>
          </w:p>
        </w:tc>
        <w:tc>
          <w:tcPr>
            <w:tcW w:w="694" w:type="dxa"/>
            <w:gridSpan w:val="2"/>
            <w:tcBorders>
              <w:top w:val="single" w:sz="6" w:space="0" w:color="auto"/>
              <w:left w:val="single" w:sz="6" w:space="0" w:color="auto"/>
              <w:bottom w:val="single" w:sz="6" w:space="0" w:color="auto"/>
              <w:right w:val="single" w:sz="6" w:space="0" w:color="auto"/>
            </w:tcBorders>
          </w:tcPr>
          <w:p w14:paraId="2DEE0B6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16,8</w:t>
            </w:r>
          </w:p>
        </w:tc>
        <w:tc>
          <w:tcPr>
            <w:tcW w:w="705" w:type="dxa"/>
            <w:gridSpan w:val="2"/>
            <w:tcBorders>
              <w:top w:val="single" w:sz="6" w:space="0" w:color="auto"/>
              <w:left w:val="single" w:sz="6" w:space="0" w:color="auto"/>
              <w:bottom w:val="single" w:sz="6" w:space="0" w:color="auto"/>
              <w:right w:val="single" w:sz="6" w:space="0" w:color="auto"/>
            </w:tcBorders>
          </w:tcPr>
          <w:p w14:paraId="2038A0A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18,6</w:t>
            </w:r>
          </w:p>
        </w:tc>
        <w:tc>
          <w:tcPr>
            <w:tcW w:w="709" w:type="dxa"/>
            <w:gridSpan w:val="2"/>
            <w:tcBorders>
              <w:top w:val="single" w:sz="6" w:space="0" w:color="auto"/>
              <w:left w:val="single" w:sz="6" w:space="0" w:color="auto"/>
              <w:bottom w:val="single" w:sz="6" w:space="0" w:color="auto"/>
              <w:right w:val="single" w:sz="6" w:space="0" w:color="auto"/>
            </w:tcBorders>
          </w:tcPr>
          <w:p w14:paraId="3778C50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19,1</w:t>
            </w:r>
          </w:p>
        </w:tc>
        <w:tc>
          <w:tcPr>
            <w:tcW w:w="709" w:type="dxa"/>
            <w:gridSpan w:val="2"/>
            <w:tcBorders>
              <w:top w:val="single" w:sz="6" w:space="0" w:color="auto"/>
              <w:left w:val="single" w:sz="6" w:space="0" w:color="auto"/>
              <w:bottom w:val="single" w:sz="6" w:space="0" w:color="auto"/>
              <w:right w:val="single" w:sz="6" w:space="0" w:color="auto"/>
            </w:tcBorders>
          </w:tcPr>
          <w:p w14:paraId="2F2C19A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21,4</w:t>
            </w:r>
          </w:p>
        </w:tc>
        <w:tc>
          <w:tcPr>
            <w:tcW w:w="709" w:type="dxa"/>
            <w:gridSpan w:val="2"/>
            <w:tcBorders>
              <w:top w:val="single" w:sz="6" w:space="0" w:color="auto"/>
              <w:left w:val="single" w:sz="6" w:space="0" w:color="auto"/>
              <w:bottom w:val="single" w:sz="6" w:space="0" w:color="auto"/>
              <w:right w:val="single" w:sz="6" w:space="0" w:color="auto"/>
            </w:tcBorders>
          </w:tcPr>
          <w:p w14:paraId="49E1E42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11,5</w:t>
            </w:r>
          </w:p>
        </w:tc>
        <w:tc>
          <w:tcPr>
            <w:tcW w:w="708" w:type="dxa"/>
            <w:gridSpan w:val="2"/>
            <w:tcBorders>
              <w:top w:val="single" w:sz="6" w:space="0" w:color="auto"/>
              <w:left w:val="single" w:sz="6" w:space="0" w:color="auto"/>
              <w:bottom w:val="single" w:sz="6" w:space="0" w:color="auto"/>
              <w:right w:val="single" w:sz="6" w:space="0" w:color="auto"/>
            </w:tcBorders>
          </w:tcPr>
          <w:p w14:paraId="79FA91F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13,0</w:t>
            </w:r>
          </w:p>
        </w:tc>
        <w:tc>
          <w:tcPr>
            <w:tcW w:w="709" w:type="dxa"/>
            <w:gridSpan w:val="2"/>
            <w:tcBorders>
              <w:top w:val="single" w:sz="6" w:space="0" w:color="auto"/>
              <w:left w:val="single" w:sz="6" w:space="0" w:color="auto"/>
              <w:bottom w:val="single" w:sz="6" w:space="0" w:color="auto"/>
              <w:right w:val="single" w:sz="6" w:space="0" w:color="auto"/>
            </w:tcBorders>
          </w:tcPr>
          <w:p w14:paraId="1CBFB7B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14,2</w:t>
            </w:r>
          </w:p>
        </w:tc>
        <w:tc>
          <w:tcPr>
            <w:tcW w:w="709" w:type="dxa"/>
            <w:tcBorders>
              <w:top w:val="single" w:sz="6" w:space="0" w:color="auto"/>
              <w:left w:val="single" w:sz="6" w:space="0" w:color="auto"/>
              <w:bottom w:val="single" w:sz="6" w:space="0" w:color="auto"/>
              <w:right w:val="single" w:sz="6" w:space="0" w:color="auto"/>
            </w:tcBorders>
          </w:tcPr>
          <w:p w14:paraId="01F76D1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14,2</w:t>
            </w:r>
          </w:p>
        </w:tc>
      </w:tr>
    </w:tbl>
    <w:p w14:paraId="7419F3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 прекращен выпуск в 2008 г.</w:t>
      </w:r>
    </w:p>
    <w:p w14:paraId="2292054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здесь: ВН1, ВН2 - парафин пищевой марки П2, производства ОАО «Славнефть-ЯНОС» (ОАО «Газпром нефть») и ООО </w:t>
      </w:r>
      <w:r>
        <w:rPr>
          <w:rFonts w:ascii="Times New Roman CYR" w:hAnsi="Times New Roman CYR" w:cs="Times New Roman CYR"/>
          <w:kern w:val="0"/>
          <w:sz w:val="28"/>
          <w:szCs w:val="28"/>
        </w:rPr>
        <w:lastRenderedPageBreak/>
        <w:t>Лукойл-Нижегородоргсинтез &lt;http://energokaskad.ru/kstovskii_/&gt; (НК «ЛУКОЙЛ») соответственно; ВН3-ВН6 - парафин нефтяной спичечный марки НС, производства ООО «Новокуйбышевский ЗМП» (ОАО НК «Роснефть»), ООО «ЛУКОЙЛ-Пермнефтеоргсинтез» (НК «ЛУКОЙЛ»), ОАО «Славнефть-ЯНОС» (ОАО «Газпром нефть»), ОАО Ангарская НХК (ОАО НК «Роснефть»); ВН7-ВН14 - гач, производства ОАО Ангарская НХК (ОАО НК «Роснефть»); ООО «Новокуйбышевский ЗМП» (ОАО НК «Роснефть»), УДП Ферганский НПЗ (АК «Узнефтмахсулот», Узбекистан), ОАО Орский НПЗ (ЗАО «ФортеИнвест»), ООО «Лукойл-Волгограднефтепереработка» (НК «ЛУКОЙЛ»); ВН15-ВН18 - петролатум, производства ООО «Омский НПЗ» (ОАО «Газпром нефть»); ООО «Новокуйбышевский ЗМП» (ОАО НК «Роснефть»), Ангарская НХК (ОАО НК «Роснефть»), ООО «Лукойл-Волгограднефтепереработка» (НК «ЛУКОЙЛ»)</w:t>
      </w:r>
    </w:p>
    <w:p w14:paraId="56E1A2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91A5E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Выбор типа нефтяного воска определялся основными свойствами, наиболее типичными для указанного продукта у каждого производителя.</w:t>
      </w:r>
    </w:p>
    <w:p w14:paraId="739C82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635F7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Гомогенизаторы. Ультразвуковые гомогенизаторы</w:t>
      </w:r>
    </w:p>
    <w:p w14:paraId="6F538E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9864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Нефтехимическая промышленность внедряет в настоящее время энергию ультразвуковых колебаний как более эффективное средство создания стабильных эмульсий, эмульсий с желаемыми размером частиц и тщательным распределением твердых частиц в жидкости.</w:t>
      </w:r>
    </w:p>
    <w:p w14:paraId="385702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настоящее время ульзвуковые гомогенизаторы используются изготовления лекарств и косметики, с их помощью производятся эмульсии с требуемыми характеристиками. Они имеют низкую цену и большое оборудование. Такие гомогенизаторы производятся компинями «</w:t>
      </w:r>
      <w:r>
        <w:rPr>
          <w:rFonts w:ascii="Times New Roman CYR" w:hAnsi="Times New Roman CYR" w:cs="Times New Roman CYR"/>
          <w:kern w:val="0"/>
          <w:sz w:val="28"/>
          <w:szCs w:val="28"/>
          <w:lang w:val="en-US"/>
        </w:rPr>
        <w:t>Sonic</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Engineering</w:t>
      </w:r>
      <w:r>
        <w:rPr>
          <w:rFonts w:ascii="Times New Roman CYR" w:hAnsi="Times New Roman CYR" w:cs="Times New Roman CYR"/>
          <w:kern w:val="0"/>
          <w:sz w:val="28"/>
          <w:szCs w:val="28"/>
        </w:rPr>
        <w:t>», «</w:t>
      </w:r>
      <w:r>
        <w:rPr>
          <w:rFonts w:ascii="Times New Roman CYR" w:hAnsi="Times New Roman CYR" w:cs="Times New Roman CYR"/>
          <w:kern w:val="0"/>
          <w:sz w:val="28"/>
          <w:szCs w:val="28"/>
          <w:lang w:val="en-US"/>
        </w:rPr>
        <w:t>Norwalk</w:t>
      </w:r>
      <w:r>
        <w:rPr>
          <w:rFonts w:ascii="Times New Roman CYR" w:hAnsi="Times New Roman CYR" w:cs="Times New Roman CYR"/>
          <w:kern w:val="0"/>
          <w:sz w:val="28"/>
          <w:szCs w:val="28"/>
        </w:rPr>
        <w:t>».</w:t>
      </w:r>
    </w:p>
    <w:p w14:paraId="7D0B34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Как работает ультразвуковой гомогенизатор.</w:t>
      </w:r>
    </w:p>
    <w:p w14:paraId="31F1625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Жидкость прокачивают через специально профилированно</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сопл</w:t>
      </w:r>
      <w:r>
        <w:rPr>
          <w:rFonts w:ascii="Times New Roman CYR" w:hAnsi="Times New Roman CYR" w:cs="Times New Roman CYR"/>
          <w:kern w:val="0"/>
          <w:sz w:val="28"/>
          <w:szCs w:val="28"/>
          <w:lang w:val="en-US"/>
        </w:rPr>
        <w:t>j</w:t>
      </w:r>
      <w:r>
        <w:rPr>
          <w:rFonts w:ascii="Times New Roman CYR" w:hAnsi="Times New Roman CYR" w:cs="Times New Roman CYR"/>
          <w:kern w:val="0"/>
          <w:sz w:val="28"/>
          <w:szCs w:val="28"/>
        </w:rPr>
        <w:t xml:space="preserve"> при давлении 150-350 фунтов на квадратный дюйм при высокой линейной скорости против лезвия из нержавеющей стали в струйном потоке. Размеры лопасти, вместе с другими параметрами системы, таковы, что система работает в ультразвуковом диапазоне. Поток жидкости проходит через лопасти и вызывает </w:t>
      </w:r>
      <w:r>
        <w:rPr>
          <w:rFonts w:ascii="Times New Roman CYR" w:hAnsi="Times New Roman CYR" w:cs="Times New Roman CYR"/>
          <w:kern w:val="0"/>
          <w:sz w:val="28"/>
          <w:szCs w:val="28"/>
        </w:rPr>
        <w:lastRenderedPageBreak/>
        <w:t>вибрацию для производства ультразвкуковых колебаний. Когда система достигает устойчивого состояния, создается кавитационное поле. Кавита</w:t>
      </w:r>
      <w:r>
        <w:rPr>
          <w:rFonts w:ascii="Times New Roman" w:hAnsi="Times New Roman" w:cs="Times New Roman"/>
          <w:kern w:val="0"/>
          <w:sz w:val="28"/>
          <w:szCs w:val="28"/>
        </w:rPr>
        <w:t>́</w:t>
      </w:r>
      <w:r>
        <w:rPr>
          <w:rFonts w:ascii="Times New Roman CYR" w:hAnsi="Times New Roman CYR" w:cs="Times New Roman CYR"/>
          <w:kern w:val="0"/>
          <w:sz w:val="28"/>
          <w:szCs w:val="28"/>
        </w:rPr>
        <w:t>ция процесс парообразования и последующей конденсации пузырьков пара в потоке жидкости, сопровождающийся шумом и гидравлическими ударами, образование в жидкости полостей (кавитационных пузырьков, или каверн), заполненных паром самой жидкости, в которой возникает. Кавитация возникает в результате местного понижения давления в жидкости, которое может происходить либо при увеличении её скорости (гидродинамическая кавитация), либо при прохождении акустической волны &lt;https://ru.wikipedia.org/wiki/%D0%90%D0%BA%D1%83%D1%81%D1%82%D0%B8%D1%87%D0%B5%D1%81%D0%BA%D0%B0%D1%8F_%D0%B2%D0%BE%D0%BB%D0%BD%D0%B0&gt; большой интенсивности во время полупериода разрежения (акустическая кавитация), существуют и другие причины возникновения эффекта. Перемещаясь с потоком в область с более высоким давлением или во время полупериода сжатия, кавитационный пузырёк схлопывается, излучая при этом ударную волну &lt;https://ru.wikipedia.org/wiki/%D0%A3%D0%B4%D0%B0%D1%80%D0%BD%D0%B0%D1%8F_%D0%B2%D0%BE%D0%BB%D0%BD%D0%B0&gt;.</w:t>
      </w:r>
    </w:p>
    <w:p w14:paraId="145656C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кавитационного поля достигает 60 тонн на квадратный метр. При помощи этого происходит интенсивное перемешивание.</w:t>
      </w:r>
    </w:p>
    <w:p w14:paraId="4F4C12D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Если разные жидкости проходят через ультразвуковой гомогенизатор, производится эмульсия, если жидкость и твердое тело, то суспензия.</w:t>
      </w:r>
    </w:p>
    <w:p w14:paraId="347AC5C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Преимущества ультразвукового гомогенизатора</w:t>
      </w:r>
    </w:p>
    <w:p w14:paraId="6503163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Простота изготовления</w:t>
      </w:r>
    </w:p>
    <w:p w14:paraId="42777C5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Низкая стоимость.</w:t>
      </w:r>
    </w:p>
    <w:p w14:paraId="7CEAF3D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Низкая стоимость управления и простота управления</w:t>
      </w:r>
    </w:p>
    <w:p w14:paraId="5C9898A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Высокая эффективность</w:t>
      </w:r>
    </w:p>
    <w:p w14:paraId="6526198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Простота обслуживания</w:t>
      </w:r>
    </w:p>
    <w:p w14:paraId="01AD895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Простота чистки</w:t>
      </w:r>
    </w:p>
    <w:p w14:paraId="797989E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Гибкость оборудования</w:t>
      </w:r>
    </w:p>
    <w:p w14:paraId="46ACDDA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Экономия материала из-за производства высокодисперсных систем.системы гомогенизации высокого давления Соника и RotoMill</w:t>
      </w:r>
    </w:p>
    <w:p w14:paraId="70BF519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Коллоидные мельницы широко используются, чтобы сформировать восковые эмульсии в расплавленном виде, воск эмульгируют в воде с</w:t>
      </w:r>
    </w:p>
    <w:p w14:paraId="76A8E69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поверхностно-активными веществами и наполнителими. Системы Sonolator использовать PD насос, чтобы заставить воск премещаться через специально оборудованное отверстие, создавая высокое давление и кавитацию.Смесь затем выходит из отверстия, при чрезвычайно высокой</w:t>
      </w:r>
    </w:p>
    <w:p w14:paraId="48A4050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скорости (&gt; 300 м / сек), против лопасти на своем пути, который помогает генерировать чрезмерное кавитационное давление жидкости ускорение, кавитация и работа давление вместе резко сократить агломераты, таким образом, повышается стабильность продукта и внешний вид. Гомогенизатор </w:t>
      </w:r>
      <w:r>
        <w:rPr>
          <w:rFonts w:ascii="Times New Roman CYR" w:hAnsi="Times New Roman CYR" w:cs="Times New Roman CYR"/>
          <w:kern w:val="0"/>
          <w:sz w:val="28"/>
          <w:szCs w:val="28"/>
        </w:rPr>
        <w:lastRenderedPageBreak/>
        <w:t>RotoMill используется также для уменьшения частиц и создания стабильныех парафиновых эмульсий.</w:t>
      </w:r>
    </w:p>
    <w:p w14:paraId="5762B2D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Выбор между этими типами средств зависит от вязкости, стоимости и т.д.Эти системы были разработаны с обогревом, отопления пленумов, и питающие насосы, чтобы помочь облегчить такие вопросы.</w:t>
      </w:r>
    </w:p>
    <w:p w14:paraId="0073CA4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5230BE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Гомогенизаторы </w:t>
      </w:r>
      <w:r>
        <w:rPr>
          <w:rFonts w:ascii="Times New Roman CYR" w:hAnsi="Times New Roman CYR" w:cs="Times New Roman CYR"/>
          <w:kern w:val="0"/>
          <w:sz w:val="28"/>
          <w:szCs w:val="28"/>
          <w:lang w:val="en-US"/>
        </w:rPr>
        <w:t>APV</w:t>
      </w:r>
    </w:p>
    <w:p w14:paraId="5C8BC90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9AAD99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Компания </w:t>
      </w:r>
      <w:r>
        <w:rPr>
          <w:rFonts w:ascii="Times New Roman CYR" w:hAnsi="Times New Roman CYR" w:cs="Times New Roman CYR"/>
          <w:kern w:val="0"/>
          <w:sz w:val="28"/>
          <w:szCs w:val="28"/>
          <w:lang w:val="en-US"/>
        </w:rPr>
        <w:t>APV</w:t>
      </w:r>
      <w:r>
        <w:rPr>
          <w:rFonts w:ascii="Times New Roman CYR" w:hAnsi="Times New Roman CYR" w:cs="Times New Roman CYR"/>
          <w:kern w:val="0"/>
          <w:sz w:val="28"/>
          <w:szCs w:val="28"/>
        </w:rPr>
        <w:t xml:space="preserve"> признанный лидер в производстве гомоненизаторов. Гомогенизаторы </w:t>
      </w:r>
      <w:r>
        <w:rPr>
          <w:rFonts w:ascii="Times New Roman CYR" w:hAnsi="Times New Roman CYR" w:cs="Times New Roman CYR"/>
          <w:kern w:val="0"/>
          <w:sz w:val="28"/>
          <w:szCs w:val="28"/>
          <w:lang w:val="en-US"/>
        </w:rPr>
        <w:t>Rannie</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Gaulin</w:t>
      </w:r>
      <w:r>
        <w:rPr>
          <w:rFonts w:ascii="Times New Roman CYR" w:hAnsi="Times New Roman CYR" w:cs="Times New Roman CYR"/>
          <w:kern w:val="0"/>
          <w:sz w:val="28"/>
          <w:szCs w:val="28"/>
        </w:rPr>
        <w:t xml:space="preserve"> используются широко в молочной промышленности, производстве напитков, пищевой промышленности. Они также используются в фармацевтической промышленности, в некоторых</w:t>
      </w:r>
    </w:p>
    <w:p w14:paraId="2A6A78D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биотехнологических и химических аппликациях. </w:t>
      </w:r>
      <w:r>
        <w:rPr>
          <w:rFonts w:ascii="Times New Roman CYR" w:hAnsi="Times New Roman CYR" w:cs="Times New Roman CYR"/>
          <w:kern w:val="0"/>
          <w:sz w:val="28"/>
          <w:szCs w:val="28"/>
          <w:lang w:val="en-US"/>
        </w:rPr>
        <w:t>APV</w:t>
      </w:r>
      <w:r>
        <w:rPr>
          <w:rFonts w:ascii="Times New Roman CYR" w:hAnsi="Times New Roman CYR" w:cs="Times New Roman CYR"/>
          <w:kern w:val="0"/>
          <w:sz w:val="28"/>
          <w:szCs w:val="28"/>
        </w:rPr>
        <w:t xml:space="preserve"> предлагает широкий ряд гомогенизаторов, включая лабораторные, для экспериментальных заводов, производственные модели, сотни инновационных решений даже для весьма специальных аппликаций.</w:t>
      </w:r>
    </w:p>
    <w:p w14:paraId="51AA4A5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Производительность гомогенизаторов </w:t>
      </w:r>
      <w:r>
        <w:rPr>
          <w:rFonts w:ascii="Times New Roman CYR" w:hAnsi="Times New Roman CYR" w:cs="Times New Roman CYR"/>
          <w:kern w:val="0"/>
          <w:sz w:val="28"/>
          <w:szCs w:val="28"/>
          <w:lang w:val="en-US"/>
        </w:rPr>
        <w:t>APV</w:t>
      </w:r>
      <w:r>
        <w:rPr>
          <w:rFonts w:ascii="Times New Roman CYR" w:hAnsi="Times New Roman CYR" w:cs="Times New Roman CYR"/>
          <w:kern w:val="0"/>
          <w:sz w:val="28"/>
          <w:szCs w:val="28"/>
        </w:rPr>
        <w:t xml:space="preserve"> может достигать 50 000 л/ч и давление 2000 бар.</w:t>
      </w:r>
    </w:p>
    <w:p w14:paraId="0CF29F9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Все гомогенизаторы имеют сертификат 3А</w:t>
      </w:r>
    </w:p>
    <w:p w14:paraId="52E1D96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Все гомогенизаторы отвечают Европейским стандартам</w:t>
      </w:r>
    </w:p>
    <w:p w14:paraId="3D5DDA9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Все гомогенизаторы могут поставляться с сальниками, одобренными </w:t>
      </w:r>
      <w:r>
        <w:rPr>
          <w:rFonts w:ascii="Times New Roman CYR" w:hAnsi="Times New Roman CYR" w:cs="Times New Roman CYR"/>
          <w:kern w:val="0"/>
          <w:sz w:val="28"/>
          <w:szCs w:val="28"/>
          <w:lang w:val="en-US"/>
        </w:rPr>
        <w:t>FDA</w:t>
      </w:r>
    </w:p>
    <w:p w14:paraId="5497F06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Все гомогенизаторы имеют сертификат </w:t>
      </w:r>
      <w:r>
        <w:rPr>
          <w:rFonts w:ascii="Times New Roman CYR" w:hAnsi="Times New Roman CYR" w:cs="Times New Roman CYR"/>
          <w:kern w:val="0"/>
          <w:sz w:val="28"/>
          <w:szCs w:val="28"/>
          <w:lang w:val="en-US"/>
        </w:rPr>
        <w:t>EHEDG</w:t>
      </w:r>
    </w:p>
    <w:p w14:paraId="63EF856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Гомогенизатор высокого давления Rannie 5/Gaulin 5</w:t>
      </w:r>
    </w:p>
    <w:p w14:paraId="76DE7BC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Высокоэффективный гомогенизатор для широкого ряда аппликаций</w:t>
      </w:r>
    </w:p>
    <w:p w14:paraId="503FE26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Описание</w:t>
      </w:r>
    </w:p>
    <w:p w14:paraId="3DDC6F9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 плунжерный гомогенизатор, оборудованный моноблочным корпусом, или корпусом клапана, состоящим из 3 частей. Большой выбор стандартных опций, также как и специальный.</w:t>
      </w:r>
    </w:p>
    <w:p w14:paraId="4CB1D13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Производительность</w:t>
      </w:r>
    </w:p>
    <w:p w14:paraId="5CB4114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Rannie</w:t>
      </w:r>
      <w:r>
        <w:rPr>
          <w:rFonts w:ascii="Times New Roman CYR" w:hAnsi="Times New Roman CYR" w:cs="Times New Roman CYR"/>
          <w:kern w:val="0"/>
          <w:sz w:val="28"/>
          <w:szCs w:val="28"/>
        </w:rPr>
        <w:t>: 80 - 900 л/ч</w:t>
      </w:r>
    </w:p>
    <w:p w14:paraId="0306E87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Gaulin</w:t>
      </w:r>
      <w:r>
        <w:rPr>
          <w:rFonts w:ascii="Times New Roman CYR" w:hAnsi="Times New Roman CYR" w:cs="Times New Roman CYR"/>
          <w:kern w:val="0"/>
          <w:sz w:val="28"/>
          <w:szCs w:val="28"/>
        </w:rPr>
        <w:t>: 180 - 850 л/ч</w:t>
      </w:r>
    </w:p>
    <w:p w14:paraId="3B12099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Стандартная температура продукта: от 105°C до 180°C</w:t>
      </w:r>
    </w:p>
    <w:p w14:paraId="3E07655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200 -1,000 бар: 210 - 600 бар</w:t>
      </w:r>
    </w:p>
    <w:p w14:paraId="3CC87A6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Размеры одноступенчатого гомогенизатора (мм):</w:t>
      </w:r>
    </w:p>
    <w:p w14:paraId="720C7E2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Rannie</w:t>
      </w:r>
      <w:r>
        <w:rPr>
          <w:rFonts w:ascii="Times New Roman CYR" w:hAnsi="Times New Roman CYR" w:cs="Times New Roman CYR"/>
          <w:kern w:val="0"/>
          <w:sz w:val="28"/>
          <w:szCs w:val="28"/>
        </w:rPr>
        <w:t xml:space="preserve">: 1,260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720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1,200</w:t>
      </w:r>
    </w:p>
    <w:p w14:paraId="6451B6D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Gaulin</w:t>
      </w:r>
      <w:r>
        <w:rPr>
          <w:rFonts w:ascii="Times New Roman CYR" w:hAnsi="Times New Roman CYR" w:cs="Times New Roman CYR"/>
          <w:kern w:val="0"/>
          <w:sz w:val="28"/>
          <w:szCs w:val="28"/>
        </w:rPr>
        <w:t xml:space="preserve">: 1,230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710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1,200</w:t>
      </w:r>
    </w:p>
    <w:p w14:paraId="2DDFB04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ПреимуществаНизкие затраты на обслуживаниеКонструкция не вредит окружающей средеУдобен в обслуживанииПрост в работе</w:t>
      </w:r>
    </w:p>
    <w:p w14:paraId="797A04F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91D063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Гомогенизатор высокого давления Rannie 15/Gaulin 15</w:t>
      </w:r>
    </w:p>
    <w:p w14:paraId="498361E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04F245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Высокоэффективный гомогенизатор для широкого ряда аппликаций.</w:t>
      </w:r>
    </w:p>
    <w:p w14:paraId="0733215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Описание</w:t>
      </w:r>
    </w:p>
    <w:p w14:paraId="4F939FE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 плунжерный гомогенизатор, оборудованный моноблочным корпусом, или корпусом клапана, состоящим из 3 частей. Большой выбор стандартных опций, также как и специальных.</w:t>
      </w:r>
    </w:p>
    <w:p w14:paraId="6D699C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Производительность:</w:t>
      </w:r>
    </w:p>
    <w:p w14:paraId="07ABC7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Rannie</w:t>
      </w:r>
      <w:r>
        <w:rPr>
          <w:rFonts w:ascii="Times New Roman CYR" w:hAnsi="Times New Roman CYR" w:cs="Times New Roman CYR"/>
          <w:kern w:val="0"/>
          <w:sz w:val="28"/>
          <w:szCs w:val="28"/>
        </w:rPr>
        <w:t>: 100 - 3300 л/ч</w:t>
      </w:r>
    </w:p>
    <w:p w14:paraId="63FF23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Gaulin</w:t>
      </w:r>
      <w:r>
        <w:rPr>
          <w:rFonts w:ascii="Times New Roman CYR" w:hAnsi="Times New Roman CYR" w:cs="Times New Roman CYR"/>
          <w:kern w:val="0"/>
          <w:sz w:val="28"/>
          <w:szCs w:val="28"/>
        </w:rPr>
        <w:t>: 450 - 3000 л/ч</w:t>
      </w:r>
    </w:p>
    <w:p w14:paraId="4E10E5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Стандартная температура продукта: от 105°C</w:t>
      </w:r>
    </w:p>
    <w:p w14:paraId="794338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150 -1500 бар: 170 - 600 бар</w:t>
      </w:r>
    </w:p>
    <w:p w14:paraId="22DB5E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Размеры одноступенчатого гомогенизатора д x ш</w:t>
      </w:r>
    </w:p>
    <w:p w14:paraId="54B29F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Rannie: 1,390 x 1290 x 1820: 1,440 x 1,290 x 1,730</w:t>
      </w:r>
    </w:p>
    <w:p w14:paraId="639599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Преимущества</w:t>
      </w:r>
    </w:p>
    <w:p w14:paraId="7D315F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Низкие затраты на обслуживание</w:t>
      </w:r>
    </w:p>
    <w:p w14:paraId="6A16E2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Конструкция не вредит окружающей среде</w:t>
      </w:r>
    </w:p>
    <w:p w14:paraId="0AF3EF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Удобен в обслуживании</w:t>
      </w:r>
    </w:p>
    <w:p w14:paraId="4B35DB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Прост в работе</w:t>
      </w:r>
    </w:p>
    <w:p w14:paraId="6C43FC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4AEF69"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60CF44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Гомогенизатор высокого давления Rannie 24/Gaulin 24</w:t>
      </w:r>
    </w:p>
    <w:p w14:paraId="0A809C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FA2C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Описание</w:t>
      </w:r>
    </w:p>
    <w:p w14:paraId="527A45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 плунжерный гомогенизатор, оборудованный моноблочным корпусом, или корпусом клапана, состоящим из 3 частей.</w:t>
      </w:r>
    </w:p>
    <w:p w14:paraId="37CBDC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Большой выбор стандартных опций, также ак и специальных.</w:t>
      </w:r>
    </w:p>
    <w:p w14:paraId="22D1C2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Материалы для плунжеров, сальников, клапанов насоса,</w:t>
      </w:r>
    </w:p>
    <w:p w14:paraId="643135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Производительность:</w:t>
      </w:r>
    </w:p>
    <w:p w14:paraId="4EE8E8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Rannie</w:t>
      </w:r>
      <w:r>
        <w:rPr>
          <w:rFonts w:ascii="Times New Roman CYR" w:hAnsi="Times New Roman CYR" w:cs="Times New Roman CYR"/>
          <w:kern w:val="0"/>
          <w:sz w:val="28"/>
          <w:szCs w:val="28"/>
        </w:rPr>
        <w:t>: 500 - 5,200 л/ч</w:t>
      </w:r>
    </w:p>
    <w:p w14:paraId="581A8B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Gaulin</w:t>
      </w:r>
      <w:r>
        <w:rPr>
          <w:rFonts w:ascii="Times New Roman CYR" w:hAnsi="Times New Roman CYR" w:cs="Times New Roman CYR"/>
          <w:kern w:val="0"/>
          <w:sz w:val="28"/>
          <w:szCs w:val="28"/>
        </w:rPr>
        <w:t>: 700 - 10,200 л/ч</w:t>
      </w:r>
    </w:p>
    <w:p w14:paraId="0D72B6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Стандартная температура продукта: от 105°C до 180°C</w:t>
      </w:r>
    </w:p>
    <w:p w14:paraId="04BD1F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150 -1000 ба</w:t>
      </w:r>
    </w:p>
    <w:p w14:paraId="666D60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Gau</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lin</w:t>
      </w:r>
      <w:r>
        <w:rPr>
          <w:rFonts w:ascii="Times New Roman CYR" w:hAnsi="Times New Roman CYR" w:cs="Times New Roman CYR"/>
          <w:kern w:val="0"/>
          <w:sz w:val="28"/>
          <w:szCs w:val="28"/>
        </w:rPr>
        <w:t>: 70 - 600 бар</w:t>
      </w:r>
    </w:p>
    <w:p w14:paraId="0D16AF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Размеры одноступенчатого гомогенизатора д x ш</w:t>
      </w:r>
    </w:p>
    <w:p w14:paraId="3A64C6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Rannie: 1,390 x 1290 x 1820: 1,440 x 1,290 x 1,730</w:t>
      </w:r>
    </w:p>
    <w:p w14:paraId="470F30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ПреимуществаНизкие затраты на обслуживаниеКонструкция не вредит окУдобен в обслуж</w:t>
      </w:r>
    </w:p>
    <w:p w14:paraId="2CC18C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839FD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Гомогенизатор высокого давления Rannie 37/Gaulin 37</w:t>
      </w:r>
    </w:p>
    <w:p w14:paraId="03D02F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4B5E5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Описание</w:t>
      </w:r>
    </w:p>
    <w:p w14:paraId="313988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 плунжерный гомогенизатор, оборудованный моноблочным корпусом, или корпусом клапана, состоящим из 3 частей. Большой выбор стандартных опций, также как и специальных.</w:t>
      </w:r>
    </w:p>
    <w:p w14:paraId="0728F3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Производительность:</w:t>
      </w:r>
    </w:p>
    <w:p w14:paraId="490973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Rannie</w:t>
      </w:r>
      <w:r>
        <w:rPr>
          <w:rFonts w:ascii="Times New Roman CYR" w:hAnsi="Times New Roman CYR" w:cs="Times New Roman CYR"/>
          <w:kern w:val="0"/>
          <w:sz w:val="28"/>
          <w:szCs w:val="28"/>
        </w:rPr>
        <w:t>: 1,000 - 8,200 л/ч</w:t>
      </w:r>
    </w:p>
    <w:p w14:paraId="0A9798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Gaulin</w:t>
      </w:r>
      <w:r>
        <w:rPr>
          <w:rFonts w:ascii="Times New Roman CYR" w:hAnsi="Times New Roman CYR" w:cs="Times New Roman CYR"/>
          <w:kern w:val="0"/>
          <w:sz w:val="28"/>
          <w:szCs w:val="28"/>
        </w:rPr>
        <w:t>: 1,600 - 11,200 л/ч</w:t>
      </w:r>
    </w:p>
    <w:p w14:paraId="74D454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Стандартная температура продукта: от 105°C</w:t>
      </w:r>
    </w:p>
    <w:p w14:paraId="10C666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150 -1000 бар: 100 - 600 бар</w:t>
      </w:r>
    </w:p>
    <w:p w14:paraId="265962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Размеры одноступенчатого гомогенизатора д x ш x</w:t>
      </w:r>
    </w:p>
    <w:p w14:paraId="4E1FE2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Rannie: 1,390 x 1290 x 1820: 1,440 x 1,290 x 1,730</w:t>
      </w:r>
    </w:p>
    <w:p w14:paraId="383A88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ПреимуществаНизкие затраты на обслуживаниеКонструкция не вредит окружающей средеУдобен в обслуживании</w:t>
      </w:r>
    </w:p>
    <w:p w14:paraId="38845A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894F4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Гомогенизатор высокого давления Rannie 110T/Gaulin 110T</w:t>
      </w:r>
    </w:p>
    <w:p w14:paraId="1578A1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D0A2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Описание</w:t>
      </w:r>
    </w:p>
    <w:p w14:paraId="120708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 плунжерный гомогенизатор, оборудованный моноблочным корпусом, или клапанным корпусом, состоящим из 3 частей. Большой выбор стандартных опций, также как и специальных.</w:t>
      </w:r>
    </w:p>
    <w:p w14:paraId="32CCF6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Производительность:: 2500 - 21000 л/ч: 5000 - 21000 л/ч</w:t>
      </w:r>
    </w:p>
    <w:p w14:paraId="7C1958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Стандартная температура продукта: от 105°C до 180°C</w:t>
      </w:r>
    </w:p>
    <w:p w14:paraId="7358A1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150 -1000 бар: 150 - 600 бар</w:t>
      </w:r>
    </w:p>
    <w:p w14:paraId="2A40F4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Размеры одноступенчатого гомогенизатора (мм):</w:t>
      </w:r>
    </w:p>
    <w:p w14:paraId="1900DC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Стандартный механизм: 2450 x 1620 x 1450</w:t>
      </w:r>
    </w:p>
    <w:p w14:paraId="512825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Расширенная версия: 2650 x 1620 x 1450</w:t>
      </w:r>
    </w:p>
    <w:p w14:paraId="0C3CEC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ПреимуществаНизкие затраты на обслуживаниеКонструкция не вредит окружающей средеУдобен в обслуживанииПрост в работе</w:t>
      </w:r>
    </w:p>
    <w:p w14:paraId="184301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8EDB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Гомогенизатор высокого давления Rannie 132Q/Gaulin 132Q</w:t>
      </w:r>
    </w:p>
    <w:p w14:paraId="4C81E4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E246C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Высокоэффективный гомогенизатор для широкого ряда аппликаций</w:t>
      </w:r>
    </w:p>
    <w:p w14:paraId="465EB6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Описание</w:t>
      </w:r>
    </w:p>
    <w:p w14:paraId="3A7C0C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 плунжерный гомогенизатор, оборудованный моноблочным корпусом, или клапанным корпусом, состоящим из 3 частей. Большой выбор стандартных </w:t>
      </w:r>
      <w:r>
        <w:rPr>
          <w:rFonts w:ascii="Times New Roman CYR" w:hAnsi="Times New Roman CYR" w:cs="Times New Roman CYR"/>
          <w:kern w:val="0"/>
          <w:sz w:val="28"/>
          <w:szCs w:val="28"/>
        </w:rPr>
        <w:lastRenderedPageBreak/>
        <w:t>опций, также как и специальных. Материалы для плунжеров, сальников, клапанов насоса, клапанов седел и уплотнений подбирается согласно вашей аппликации.</w:t>
      </w:r>
    </w:p>
    <w:p w14:paraId="43EE34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Производительность:</w:t>
      </w:r>
    </w:p>
    <w:p w14:paraId="244E25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Rannie</w:t>
      </w:r>
      <w:r>
        <w:rPr>
          <w:rFonts w:ascii="Times New Roman CYR" w:hAnsi="Times New Roman CYR" w:cs="Times New Roman CYR"/>
          <w:kern w:val="0"/>
          <w:sz w:val="28"/>
          <w:szCs w:val="28"/>
        </w:rPr>
        <w:t>: 7000 - 30000 л/ч</w:t>
      </w:r>
    </w:p>
    <w:p w14:paraId="64F780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Gaulin</w:t>
      </w:r>
      <w:r>
        <w:rPr>
          <w:rFonts w:ascii="Times New Roman CYR" w:hAnsi="Times New Roman CYR" w:cs="Times New Roman CYR"/>
          <w:kern w:val="0"/>
          <w:sz w:val="28"/>
          <w:szCs w:val="28"/>
        </w:rPr>
        <w:t>: 16000 - 34000 л/ч</w:t>
      </w:r>
    </w:p>
    <w:p w14:paraId="060226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Стандартная температура продукта: от 105°C до 180°C</w:t>
      </w:r>
    </w:p>
    <w:p w14:paraId="1B9740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150 -600 бар: 100 - 210 бар</w:t>
      </w:r>
    </w:p>
    <w:p w14:paraId="1496C5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Размеры одноступенчатого гомогенизатора (мм):</w:t>
      </w:r>
    </w:p>
    <w:p w14:paraId="772143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Стандартный механизм: 3190 x 1890 x 1590</w:t>
      </w:r>
    </w:p>
    <w:p w14:paraId="523817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Расширенная версия: 2860 x 1890 x 1640 Опции</w:t>
      </w:r>
    </w:p>
    <w:p w14:paraId="4CE643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ПреимуществаНизкие затраты на обслуживаниеКонструкция не вредит окружающей средеУдобен в обслуживанииПрост в работе</w:t>
      </w:r>
    </w:p>
    <w:p w14:paraId="38A53184"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346958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Гомогенизатор высокого давления Rannie 132Т/Gaulin 132Т</w:t>
      </w:r>
    </w:p>
    <w:p w14:paraId="487959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72F9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Описание</w:t>
      </w:r>
    </w:p>
    <w:p w14:paraId="3FDF41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 плунжерный гомогенизатор, оборудованный моноблочным корпусом, или клапанным корпусом, состоящим из 3 частей. Большой выбор стандартных опций, также как и специальных</w:t>
      </w:r>
    </w:p>
    <w:p w14:paraId="72E26A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Производительность:</w:t>
      </w:r>
    </w:p>
    <w:p w14:paraId="73113E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Rannie: 4000 - 22000 </w:t>
      </w:r>
      <w:r>
        <w:rPr>
          <w:rFonts w:ascii="Times New Roman CYR" w:hAnsi="Times New Roman CYR" w:cs="Times New Roman CYR"/>
          <w:kern w:val="0"/>
          <w:sz w:val="28"/>
          <w:szCs w:val="28"/>
        </w:rPr>
        <w:t>л</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ч</w:t>
      </w:r>
      <w:r>
        <w:rPr>
          <w:rFonts w:ascii="Times New Roman CYR" w:hAnsi="Times New Roman CYR" w:cs="Times New Roman CYR"/>
          <w:kern w:val="0"/>
          <w:sz w:val="28"/>
          <w:szCs w:val="28"/>
          <w:lang w:val="en-US"/>
        </w:rPr>
        <w:t xml:space="preserve">: 7400 - 19500 </w:t>
      </w:r>
      <w:r>
        <w:rPr>
          <w:rFonts w:ascii="Times New Roman CYR" w:hAnsi="Times New Roman CYR" w:cs="Times New Roman CYR"/>
          <w:kern w:val="0"/>
          <w:sz w:val="28"/>
          <w:szCs w:val="28"/>
        </w:rPr>
        <w:t>л</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ч</w:t>
      </w:r>
    </w:p>
    <w:p w14:paraId="779C9C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Стандартная температура продукта: от 105°C до 180°C</w:t>
      </w:r>
    </w:p>
    <w:p w14:paraId="4E2CB7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200 -1000 бар: 210 - 600 бар</w:t>
      </w:r>
    </w:p>
    <w:p w14:paraId="248DB9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Размеры одноступенчатого гомогенизатора д x ш x в (мм):</w:t>
      </w:r>
    </w:p>
    <w:p w14:paraId="6C1873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Стандартный механизм: 3010 x 1580 x 1720</w:t>
      </w:r>
    </w:p>
    <w:p w14:paraId="0109EC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Расширенная версия: 3030 x 1580 x 1640</w:t>
      </w:r>
    </w:p>
    <w:p w14:paraId="74B3DF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Опции</w:t>
      </w:r>
    </w:p>
    <w:p w14:paraId="338804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Преимущества</w:t>
      </w:r>
    </w:p>
    <w:p w14:paraId="042813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Низкие затраты на обслуживание</w:t>
      </w:r>
    </w:p>
    <w:p w14:paraId="108F46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Конструкция не вредит окружающей среде</w:t>
      </w:r>
    </w:p>
    <w:p w14:paraId="63944D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Удобен в обслуживании</w:t>
      </w:r>
    </w:p>
    <w:p w14:paraId="4B7598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Прост в работе</w:t>
      </w:r>
    </w:p>
    <w:p w14:paraId="79553F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66828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Гомогенизатор высокого давления Rannie 185Q/Gaulin 185Q</w:t>
      </w:r>
    </w:p>
    <w:p w14:paraId="74E2F3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A167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Высокоэффективный гомогенизатор для широкого ряда аппликаций</w:t>
      </w:r>
    </w:p>
    <w:p w14:paraId="681331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Описание</w:t>
      </w:r>
    </w:p>
    <w:p w14:paraId="43717E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 плунжерный гомогенизатор, оборудованный моноблочным корпусом, или клапанным корпусом, состоящим из 3 частей. Большой выбор стандартных опций, также как и специальных.</w:t>
      </w:r>
    </w:p>
    <w:p w14:paraId="73FF27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Производительность:: 10000 - 45000 л/ч: 20000 - 50000 л/ч</w:t>
      </w:r>
    </w:p>
    <w:p w14:paraId="1E9FF4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Стандартная температура продукта: от 105°C до 180°C</w:t>
      </w:r>
    </w:p>
    <w:p w14:paraId="79810C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150 -650 бар: 100 - 250 бар</w:t>
      </w:r>
    </w:p>
    <w:p w14:paraId="66D740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Размеры одноступенчатого гомогенизатора д x ш x в (мм):</w:t>
      </w:r>
    </w:p>
    <w:p w14:paraId="6AD4E3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x 2150 x 1710</w:t>
      </w:r>
    </w:p>
    <w:p w14:paraId="041D04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ПреимуществаНизкие затраты на обслуживаниеЗвуконепроницаемая камераКонструкция не вредит окружающей средеУдобен в обслуживанииПрост в работе</w:t>
      </w:r>
    </w:p>
    <w:p w14:paraId="6839EF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9BA9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Гомогенизатор высокого давления Rannie 315</w:t>
      </w:r>
    </w:p>
    <w:p w14:paraId="1BC8A2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117D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Высокоэффективный гомогенизатор для широкого ряда аппликаций</w:t>
      </w:r>
    </w:p>
    <w:p w14:paraId="68FFD6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Описание</w:t>
      </w:r>
    </w:p>
    <w:p w14:paraId="39C743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 плунжерный гомогенизатор, оборудованный моноблочным корпусом, или клапанным корпусом, состоящим из 3 частей.</w:t>
      </w:r>
    </w:p>
    <w:p w14:paraId="2C641B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Большой выбор стандартных опций, также как и специальных. Материалы для плунжеров, сальников, клапанов насоса, клапанов седел и уплотнений подбирается согласно вашей аппликации.</w:t>
      </w:r>
    </w:p>
    <w:p w14:paraId="1792CA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Производительность:: 8000 - 35000 л/ч</w:t>
      </w:r>
    </w:p>
    <w:p w14:paraId="755E01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Стандартная температура продукта: от 105°C до 180°C</w:t>
      </w:r>
    </w:p>
    <w:p w14:paraId="327EC8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Давление:: 250 - 1000 бар</w:t>
      </w:r>
    </w:p>
    <w:p w14:paraId="44EF4F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Размеры одноступенчатого гомогенизатора д x ш x в (мм): 3810 x 2120 x 1910</w:t>
      </w:r>
    </w:p>
    <w:p w14:paraId="2BB91B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ПреимуществаНизкие затраты на обслуживаниеКонструкция не вредит окружающей средеУдобен в обслуживанииПрост в работе а также есть гомогенизатор со звуконепроницаемой камерой и лабораторные гомогенизаторы.</w:t>
      </w:r>
    </w:p>
    <w:p w14:paraId="77661B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3D9F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lastRenderedPageBreak/>
        <w:t>Приготовление</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эмульсий</w:t>
      </w:r>
    </w:p>
    <w:p w14:paraId="0E10CF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5FFC8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Эмульсии</w:t>
      </w:r>
      <w:r>
        <w:rPr>
          <w:rFonts w:ascii="Times New Roman CYR" w:hAnsi="Times New Roman CYR" w:cs="Times New Roman CYR"/>
          <w:kern w:val="0"/>
          <w:sz w:val="28"/>
          <w:szCs w:val="28"/>
          <w:lang w:val="en-US"/>
        </w:rPr>
        <w:t xml:space="preserve"> Fraunhofer Institute for Environmental, Safety, and Energy Technology UMSICHT/</w:t>
      </w:r>
    </w:p>
    <w:p w14:paraId="30CA33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Институт</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исследовал</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три</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эмульсии</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содержащие</w:t>
      </w:r>
      <w:r>
        <w:rPr>
          <w:rFonts w:ascii="Times New Roman CYR" w:hAnsi="Times New Roman CYR" w:cs="Times New Roman CYR"/>
          <w:kern w:val="0"/>
          <w:sz w:val="28"/>
          <w:szCs w:val="28"/>
          <w:lang w:val="en-US"/>
        </w:rPr>
        <w:t xml:space="preserve"> 1,5 </w:t>
      </w:r>
      <w:r>
        <w:rPr>
          <w:rFonts w:ascii="Times New Roman CYR" w:hAnsi="Times New Roman CYR" w:cs="Times New Roman CYR"/>
          <w:kern w:val="0"/>
          <w:sz w:val="28"/>
          <w:szCs w:val="28"/>
        </w:rPr>
        <w:t>мас</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поверхностно</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активного</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вещества</w:t>
      </w:r>
      <w:r>
        <w:rPr>
          <w:rFonts w:ascii="Times New Roman CYR" w:hAnsi="Times New Roman CYR" w:cs="Times New Roman CYR"/>
          <w:kern w:val="0"/>
          <w:sz w:val="28"/>
          <w:szCs w:val="28"/>
          <w:lang w:val="en-US"/>
        </w:rPr>
        <w:t xml:space="preserve">, 2,5 </w:t>
      </w:r>
      <w:r>
        <w:rPr>
          <w:rFonts w:ascii="Times New Roman CYR" w:hAnsi="Times New Roman CYR" w:cs="Times New Roman CYR"/>
          <w:kern w:val="0"/>
          <w:sz w:val="28"/>
          <w:szCs w:val="28"/>
        </w:rPr>
        <w:t>мас</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зародышеобразователь</w:t>
      </w:r>
      <w:r>
        <w:rPr>
          <w:rFonts w:ascii="Times New Roman CYR" w:hAnsi="Times New Roman CYR" w:cs="Times New Roman CYR"/>
          <w:kern w:val="0"/>
          <w:sz w:val="28"/>
          <w:szCs w:val="28"/>
          <w:lang w:val="en-US"/>
        </w:rPr>
        <w:t xml:space="preserve">, 0,35 </w:t>
      </w:r>
      <w:r>
        <w:rPr>
          <w:rFonts w:ascii="Times New Roman CYR" w:hAnsi="Times New Roman CYR" w:cs="Times New Roman CYR"/>
          <w:kern w:val="0"/>
          <w:sz w:val="28"/>
          <w:szCs w:val="28"/>
        </w:rPr>
        <w:t>мас</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загустителя</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и</w:t>
      </w:r>
      <w:r>
        <w:rPr>
          <w:rFonts w:ascii="Times New Roman CYR" w:hAnsi="Times New Roman CYR" w:cs="Times New Roman CYR"/>
          <w:kern w:val="0"/>
          <w:sz w:val="28"/>
          <w:szCs w:val="28"/>
          <w:lang w:val="en-US"/>
        </w:rPr>
        <w:t xml:space="preserve"> 30% </w:t>
      </w:r>
      <w:r>
        <w:rPr>
          <w:rFonts w:ascii="Times New Roman CYR" w:hAnsi="Times New Roman CYR" w:cs="Times New Roman CYR"/>
          <w:kern w:val="0"/>
          <w:sz w:val="28"/>
          <w:szCs w:val="28"/>
        </w:rPr>
        <w:t>вес</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проценты</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парафинов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марки</w:t>
      </w:r>
      <w:r>
        <w:rPr>
          <w:rFonts w:ascii="Times New Roman CYR" w:hAnsi="Times New Roman CYR" w:cs="Times New Roman CYR"/>
          <w:kern w:val="0"/>
          <w:sz w:val="28"/>
          <w:szCs w:val="28"/>
          <w:lang w:val="en-US"/>
        </w:rPr>
        <w:t xml:space="preserve"> RT6, RT10 </w:t>
      </w:r>
      <w:r>
        <w:rPr>
          <w:rFonts w:ascii="Times New Roman CYR" w:hAnsi="Times New Roman CYR" w:cs="Times New Roman CYR"/>
          <w:kern w:val="0"/>
          <w:sz w:val="28"/>
          <w:szCs w:val="28"/>
        </w:rPr>
        <w:t>и</w:t>
      </w:r>
      <w:r>
        <w:rPr>
          <w:rFonts w:ascii="Times New Roman CYR" w:hAnsi="Times New Roman CYR" w:cs="Times New Roman CYR"/>
          <w:kern w:val="0"/>
          <w:sz w:val="28"/>
          <w:szCs w:val="28"/>
          <w:lang w:val="en-US"/>
        </w:rPr>
        <w:t xml:space="preserve"> RT20 </w:t>
      </w:r>
      <w:r>
        <w:rPr>
          <w:rFonts w:ascii="Times New Roman CYR" w:hAnsi="Times New Roman CYR" w:cs="Times New Roman CYR"/>
          <w:kern w:val="0"/>
          <w:sz w:val="28"/>
          <w:szCs w:val="28"/>
        </w:rPr>
        <w:t>Образцы</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были</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названы</w:t>
      </w:r>
      <w:r>
        <w:rPr>
          <w:rFonts w:ascii="Times New Roman CYR" w:hAnsi="Times New Roman CYR" w:cs="Times New Roman CYR"/>
          <w:kern w:val="0"/>
          <w:sz w:val="28"/>
          <w:szCs w:val="28"/>
          <w:lang w:val="en-US"/>
        </w:rPr>
        <w:t xml:space="preserve"> CryoSolplus 6, CryoSolplus 10 </w:t>
      </w:r>
      <w:r>
        <w:rPr>
          <w:rFonts w:ascii="Times New Roman CYR" w:hAnsi="Times New Roman CYR" w:cs="Times New Roman CYR"/>
          <w:kern w:val="0"/>
          <w:sz w:val="28"/>
          <w:szCs w:val="28"/>
        </w:rPr>
        <w:t>и</w:t>
      </w:r>
      <w:r>
        <w:rPr>
          <w:rFonts w:ascii="Times New Roman CYR" w:hAnsi="Times New Roman CYR" w:cs="Times New Roman CYR"/>
          <w:kern w:val="0"/>
          <w:sz w:val="28"/>
          <w:szCs w:val="28"/>
          <w:lang w:val="en-US"/>
        </w:rPr>
        <w:t xml:space="preserve"> 20 CryoSolplus</w:t>
      </w:r>
    </w:p>
    <w:p w14:paraId="5823FF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Свойства эмульсий, в том числе распределение капель по размеру, при фазовом переходе температуры, теплоемкость и реологические поведение, были исследованы и результаты приведены в этом разделе.</w:t>
      </w:r>
    </w:p>
    <w:p w14:paraId="77FC1B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82"/>
        <w:gridCol w:w="1540"/>
        <w:gridCol w:w="1560"/>
        <w:gridCol w:w="1540"/>
        <w:gridCol w:w="1574"/>
        <w:gridCol w:w="1843"/>
      </w:tblGrid>
      <w:tr w:rsidR="00000000" w14:paraId="43CD58C5" w14:textId="77777777">
        <w:tblPrEx>
          <w:tblCellMar>
            <w:top w:w="0" w:type="dxa"/>
            <w:bottom w:w="0" w:type="dxa"/>
          </w:tblCellMar>
        </w:tblPrEx>
        <w:tc>
          <w:tcPr>
            <w:tcW w:w="982" w:type="dxa"/>
            <w:tcBorders>
              <w:top w:val="single" w:sz="6" w:space="0" w:color="auto"/>
              <w:left w:val="single" w:sz="6" w:space="0" w:color="auto"/>
              <w:bottom w:val="single" w:sz="6" w:space="0" w:color="auto"/>
              <w:right w:val="single" w:sz="6" w:space="0" w:color="auto"/>
            </w:tcBorders>
          </w:tcPr>
          <w:p w14:paraId="1DA64AD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Парафин</w:t>
            </w:r>
          </w:p>
        </w:tc>
        <w:tc>
          <w:tcPr>
            <w:tcW w:w="1540" w:type="dxa"/>
            <w:tcBorders>
              <w:top w:val="single" w:sz="6" w:space="0" w:color="auto"/>
              <w:left w:val="single" w:sz="6" w:space="0" w:color="auto"/>
              <w:bottom w:val="single" w:sz="6" w:space="0" w:color="auto"/>
              <w:right w:val="single" w:sz="6" w:space="0" w:color="auto"/>
            </w:tcBorders>
          </w:tcPr>
          <w:p w14:paraId="0F92E06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плавления 0С</w:t>
            </w:r>
          </w:p>
        </w:tc>
        <w:tc>
          <w:tcPr>
            <w:tcW w:w="1560" w:type="dxa"/>
            <w:tcBorders>
              <w:top w:val="single" w:sz="6" w:space="0" w:color="auto"/>
              <w:left w:val="single" w:sz="6" w:space="0" w:color="auto"/>
              <w:bottom w:val="single" w:sz="6" w:space="0" w:color="auto"/>
              <w:right w:val="single" w:sz="6" w:space="0" w:color="auto"/>
            </w:tcBorders>
          </w:tcPr>
          <w:p w14:paraId="10B8447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Температура охлаждения 0С</w:t>
            </w:r>
          </w:p>
        </w:tc>
        <w:tc>
          <w:tcPr>
            <w:tcW w:w="1540" w:type="dxa"/>
            <w:tcBorders>
              <w:top w:val="single" w:sz="6" w:space="0" w:color="auto"/>
              <w:left w:val="single" w:sz="6" w:space="0" w:color="auto"/>
              <w:bottom w:val="single" w:sz="6" w:space="0" w:color="auto"/>
              <w:right w:val="single" w:sz="6" w:space="0" w:color="auto"/>
            </w:tcBorders>
          </w:tcPr>
          <w:p w14:paraId="08262ED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Теплота слияния кдж/кг</w:t>
            </w:r>
          </w:p>
        </w:tc>
        <w:tc>
          <w:tcPr>
            <w:tcW w:w="1574" w:type="dxa"/>
            <w:tcBorders>
              <w:top w:val="single" w:sz="6" w:space="0" w:color="auto"/>
              <w:left w:val="single" w:sz="6" w:space="0" w:color="auto"/>
              <w:bottom w:val="single" w:sz="6" w:space="0" w:color="auto"/>
              <w:right w:val="single" w:sz="6" w:space="0" w:color="auto"/>
            </w:tcBorders>
          </w:tcPr>
          <w:p w14:paraId="3BDECF4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Плотность кг/л</w:t>
            </w:r>
          </w:p>
        </w:tc>
        <w:tc>
          <w:tcPr>
            <w:tcW w:w="1843" w:type="dxa"/>
            <w:tcBorders>
              <w:top w:val="single" w:sz="6" w:space="0" w:color="auto"/>
              <w:left w:val="single" w:sz="6" w:space="0" w:color="auto"/>
              <w:bottom w:val="single" w:sz="6" w:space="0" w:color="auto"/>
              <w:right w:val="single" w:sz="6" w:space="0" w:color="auto"/>
            </w:tcBorders>
          </w:tcPr>
          <w:p w14:paraId="6DC1EDD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Объем расширения</w:t>
            </w:r>
          </w:p>
        </w:tc>
      </w:tr>
      <w:tr w:rsidR="00000000" w14:paraId="47822869" w14:textId="77777777">
        <w:tblPrEx>
          <w:tblCellMar>
            <w:top w:w="0" w:type="dxa"/>
            <w:bottom w:w="0" w:type="dxa"/>
          </w:tblCellMar>
        </w:tblPrEx>
        <w:tc>
          <w:tcPr>
            <w:tcW w:w="982" w:type="dxa"/>
            <w:tcBorders>
              <w:top w:val="single" w:sz="6" w:space="0" w:color="auto"/>
              <w:left w:val="single" w:sz="6" w:space="0" w:color="auto"/>
              <w:bottom w:val="single" w:sz="6" w:space="0" w:color="auto"/>
              <w:right w:val="single" w:sz="6" w:space="0" w:color="auto"/>
            </w:tcBorders>
          </w:tcPr>
          <w:p w14:paraId="37D3627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RT6</w:t>
            </w:r>
          </w:p>
        </w:tc>
        <w:tc>
          <w:tcPr>
            <w:tcW w:w="1540" w:type="dxa"/>
            <w:tcBorders>
              <w:top w:val="single" w:sz="6" w:space="0" w:color="auto"/>
              <w:left w:val="single" w:sz="6" w:space="0" w:color="auto"/>
              <w:bottom w:val="single" w:sz="6" w:space="0" w:color="auto"/>
              <w:right w:val="single" w:sz="6" w:space="0" w:color="auto"/>
            </w:tcBorders>
          </w:tcPr>
          <w:p w14:paraId="43766F5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1560" w:type="dxa"/>
            <w:tcBorders>
              <w:top w:val="single" w:sz="6" w:space="0" w:color="auto"/>
              <w:left w:val="single" w:sz="6" w:space="0" w:color="auto"/>
              <w:bottom w:val="single" w:sz="6" w:space="0" w:color="auto"/>
              <w:right w:val="single" w:sz="6" w:space="0" w:color="auto"/>
            </w:tcBorders>
          </w:tcPr>
          <w:p w14:paraId="31992D5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540" w:type="dxa"/>
            <w:tcBorders>
              <w:top w:val="single" w:sz="6" w:space="0" w:color="auto"/>
              <w:left w:val="single" w:sz="6" w:space="0" w:color="auto"/>
              <w:bottom w:val="single" w:sz="6" w:space="0" w:color="auto"/>
              <w:right w:val="single" w:sz="6" w:space="0" w:color="auto"/>
            </w:tcBorders>
          </w:tcPr>
          <w:p w14:paraId="5C6D8EA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174</w:t>
            </w:r>
          </w:p>
        </w:tc>
        <w:tc>
          <w:tcPr>
            <w:tcW w:w="1574" w:type="dxa"/>
            <w:tcBorders>
              <w:top w:val="single" w:sz="6" w:space="0" w:color="auto"/>
              <w:left w:val="single" w:sz="6" w:space="0" w:color="auto"/>
              <w:bottom w:val="single" w:sz="6" w:space="0" w:color="auto"/>
              <w:right w:val="single" w:sz="6" w:space="0" w:color="auto"/>
            </w:tcBorders>
          </w:tcPr>
          <w:p w14:paraId="7206053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0,77</w:t>
            </w:r>
          </w:p>
        </w:tc>
        <w:tc>
          <w:tcPr>
            <w:tcW w:w="1843" w:type="dxa"/>
            <w:tcBorders>
              <w:top w:val="single" w:sz="6" w:space="0" w:color="auto"/>
              <w:left w:val="single" w:sz="6" w:space="0" w:color="auto"/>
              <w:bottom w:val="single" w:sz="6" w:space="0" w:color="auto"/>
              <w:right w:val="single" w:sz="6" w:space="0" w:color="auto"/>
            </w:tcBorders>
          </w:tcPr>
          <w:p w14:paraId="6C02EE7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r>
      <w:tr w:rsidR="00000000" w14:paraId="63BDCD55" w14:textId="77777777">
        <w:tblPrEx>
          <w:tblCellMar>
            <w:top w:w="0" w:type="dxa"/>
            <w:bottom w:w="0" w:type="dxa"/>
          </w:tblCellMar>
        </w:tblPrEx>
        <w:tc>
          <w:tcPr>
            <w:tcW w:w="982" w:type="dxa"/>
            <w:tcBorders>
              <w:top w:val="single" w:sz="6" w:space="0" w:color="auto"/>
              <w:left w:val="single" w:sz="6" w:space="0" w:color="auto"/>
              <w:bottom w:val="single" w:sz="6" w:space="0" w:color="auto"/>
              <w:right w:val="single" w:sz="6" w:space="0" w:color="auto"/>
            </w:tcBorders>
          </w:tcPr>
          <w:p w14:paraId="6755295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RT10</w:t>
            </w:r>
          </w:p>
        </w:tc>
        <w:tc>
          <w:tcPr>
            <w:tcW w:w="1540" w:type="dxa"/>
            <w:tcBorders>
              <w:top w:val="single" w:sz="6" w:space="0" w:color="auto"/>
              <w:left w:val="single" w:sz="6" w:space="0" w:color="auto"/>
              <w:bottom w:val="single" w:sz="6" w:space="0" w:color="auto"/>
              <w:right w:val="single" w:sz="6" w:space="0" w:color="auto"/>
            </w:tcBorders>
          </w:tcPr>
          <w:p w14:paraId="49210A9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w:t>
            </w:r>
          </w:p>
        </w:tc>
        <w:tc>
          <w:tcPr>
            <w:tcW w:w="1560" w:type="dxa"/>
            <w:tcBorders>
              <w:top w:val="single" w:sz="6" w:space="0" w:color="auto"/>
              <w:left w:val="single" w:sz="6" w:space="0" w:color="auto"/>
              <w:bottom w:val="single" w:sz="6" w:space="0" w:color="auto"/>
              <w:right w:val="single" w:sz="6" w:space="0" w:color="auto"/>
            </w:tcBorders>
          </w:tcPr>
          <w:p w14:paraId="139F031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1540" w:type="dxa"/>
            <w:tcBorders>
              <w:top w:val="single" w:sz="6" w:space="0" w:color="auto"/>
              <w:left w:val="single" w:sz="6" w:space="0" w:color="auto"/>
              <w:bottom w:val="single" w:sz="6" w:space="0" w:color="auto"/>
              <w:right w:val="single" w:sz="6" w:space="0" w:color="auto"/>
            </w:tcBorders>
          </w:tcPr>
          <w:p w14:paraId="5647505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152</w:t>
            </w:r>
          </w:p>
        </w:tc>
        <w:tc>
          <w:tcPr>
            <w:tcW w:w="1574" w:type="dxa"/>
            <w:tcBorders>
              <w:top w:val="single" w:sz="6" w:space="0" w:color="auto"/>
              <w:left w:val="single" w:sz="6" w:space="0" w:color="auto"/>
              <w:bottom w:val="single" w:sz="6" w:space="0" w:color="auto"/>
              <w:right w:val="single" w:sz="6" w:space="0" w:color="auto"/>
            </w:tcBorders>
          </w:tcPr>
          <w:p w14:paraId="08E20D8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0,78</w:t>
            </w:r>
          </w:p>
        </w:tc>
        <w:tc>
          <w:tcPr>
            <w:tcW w:w="1843" w:type="dxa"/>
            <w:tcBorders>
              <w:top w:val="single" w:sz="6" w:space="0" w:color="auto"/>
              <w:left w:val="single" w:sz="6" w:space="0" w:color="auto"/>
              <w:bottom w:val="single" w:sz="6" w:space="0" w:color="auto"/>
              <w:right w:val="single" w:sz="6" w:space="0" w:color="auto"/>
            </w:tcBorders>
          </w:tcPr>
          <w:p w14:paraId="632D811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r>
      <w:tr w:rsidR="00000000" w14:paraId="592DD8C8" w14:textId="77777777">
        <w:tblPrEx>
          <w:tblCellMar>
            <w:top w:w="0" w:type="dxa"/>
            <w:bottom w:w="0" w:type="dxa"/>
          </w:tblCellMar>
        </w:tblPrEx>
        <w:tc>
          <w:tcPr>
            <w:tcW w:w="982" w:type="dxa"/>
            <w:tcBorders>
              <w:top w:val="single" w:sz="6" w:space="0" w:color="auto"/>
              <w:left w:val="single" w:sz="6" w:space="0" w:color="auto"/>
              <w:bottom w:val="single" w:sz="6" w:space="0" w:color="auto"/>
              <w:right w:val="single" w:sz="6" w:space="0" w:color="auto"/>
            </w:tcBorders>
          </w:tcPr>
          <w:p w14:paraId="037B136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RT20</w:t>
            </w:r>
          </w:p>
        </w:tc>
        <w:tc>
          <w:tcPr>
            <w:tcW w:w="1540" w:type="dxa"/>
            <w:tcBorders>
              <w:top w:val="single" w:sz="6" w:space="0" w:color="auto"/>
              <w:left w:val="single" w:sz="6" w:space="0" w:color="auto"/>
              <w:bottom w:val="single" w:sz="6" w:space="0" w:color="auto"/>
              <w:right w:val="single" w:sz="6" w:space="0" w:color="auto"/>
            </w:tcBorders>
          </w:tcPr>
          <w:p w14:paraId="23A3B12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w:t>
            </w:r>
          </w:p>
        </w:tc>
        <w:tc>
          <w:tcPr>
            <w:tcW w:w="1560" w:type="dxa"/>
            <w:tcBorders>
              <w:top w:val="single" w:sz="6" w:space="0" w:color="auto"/>
              <w:left w:val="single" w:sz="6" w:space="0" w:color="auto"/>
              <w:bottom w:val="single" w:sz="6" w:space="0" w:color="auto"/>
              <w:right w:val="single" w:sz="6" w:space="0" w:color="auto"/>
            </w:tcBorders>
          </w:tcPr>
          <w:p w14:paraId="59D100F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1540" w:type="dxa"/>
            <w:tcBorders>
              <w:top w:val="single" w:sz="6" w:space="0" w:color="auto"/>
              <w:left w:val="single" w:sz="6" w:space="0" w:color="auto"/>
              <w:bottom w:val="single" w:sz="6" w:space="0" w:color="auto"/>
              <w:right w:val="single" w:sz="6" w:space="0" w:color="auto"/>
            </w:tcBorders>
          </w:tcPr>
          <w:p w14:paraId="421FA42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130</w:t>
            </w:r>
          </w:p>
        </w:tc>
        <w:tc>
          <w:tcPr>
            <w:tcW w:w="1574" w:type="dxa"/>
            <w:tcBorders>
              <w:top w:val="single" w:sz="6" w:space="0" w:color="auto"/>
              <w:left w:val="single" w:sz="6" w:space="0" w:color="auto"/>
              <w:bottom w:val="single" w:sz="6" w:space="0" w:color="auto"/>
              <w:right w:val="single" w:sz="6" w:space="0" w:color="auto"/>
            </w:tcBorders>
          </w:tcPr>
          <w:p w14:paraId="52E864F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0,75</w:t>
            </w:r>
          </w:p>
        </w:tc>
        <w:tc>
          <w:tcPr>
            <w:tcW w:w="1843" w:type="dxa"/>
            <w:tcBorders>
              <w:top w:val="single" w:sz="6" w:space="0" w:color="auto"/>
              <w:left w:val="single" w:sz="6" w:space="0" w:color="auto"/>
              <w:bottom w:val="single" w:sz="6" w:space="0" w:color="auto"/>
              <w:right w:val="single" w:sz="6" w:space="0" w:color="auto"/>
            </w:tcBorders>
          </w:tcPr>
          <w:p w14:paraId="387770C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r>
    </w:tbl>
    <w:p w14:paraId="4EE258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72E3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всех дисперсий, капли размеры частиц и их распределение дисперсной фазы являются важными параметрами. Распределение размера капелек эмульсии была определена с помощью лазерного анализатора размера частиц Mastersizer 2000 от Malvern Instruments Ltd.6, CryoSolplus 10 и CryoSolplus 20 имеют одинаковое распределение капель по размерам в 1-10 мкм. При наблюдении эмульсии Под световым микроскопом, парафины диспергируются в воде в виде сферических капелек. Экспериментальные результаты CryoSolplus 6, CryoSolplus 10 и CryoSolplus 20 показывают, что эмульсии имеют более высокие теплоемкости, но более высокую вязкости. Есть некоторые возможности применения эмульсий в различных областях в зависимости от температуры фазового перехода парафина.</w:t>
      </w:r>
    </w:p>
    <w:p w14:paraId="3E8464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Три эмульсии CryoSolplus 6, CryoSolplus 10 и CryoSolplus 20 будут в </w:t>
      </w:r>
      <w:r>
        <w:rPr>
          <w:rFonts w:ascii="Times New Roman CYR" w:hAnsi="Times New Roman CYR" w:cs="Times New Roman CYR"/>
          <w:kern w:val="0"/>
          <w:sz w:val="28"/>
          <w:szCs w:val="28"/>
        </w:rPr>
        <w:lastRenderedPageBreak/>
        <w:t>дальнейшем исследоваться. Использование парафинов в большом диапазоне диапазоне температур увеличит плотность энергии эмульсии и уменьшить диапазон рабочей температуры систем АСУТП.Другое препятствие применения эмульсий является высокая вязкость, которая вызовет большой перепад давления в насосе.</w:t>
      </w:r>
    </w:p>
    <w:p w14:paraId="781C6E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APV an SPX brand</w:t>
      </w:r>
      <w:r>
        <w:rPr>
          <w:rFonts w:ascii="Times New Roman CYR" w:hAnsi="Times New Roman CYR" w:cs="Times New Roman CYR"/>
          <w:kern w:val="0"/>
          <w:sz w:val="28"/>
          <w:szCs w:val="28"/>
        </w:rPr>
        <w:t>.</w:t>
      </w:r>
    </w:p>
    <w:p w14:paraId="75CC11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Цель состоит в том, чтобы подготовить воска эмульсии, которые имеют небольшой, однородный размер частиц; имеют хорошую механическуя стабильность и длительный срок срок хранения и, если это требуется, иметь стабильность в кислом растворе. Производят стабильные к кислотам восковые эмульсии, которые имеют хорошую переносимость к кислотным и щелочным растворам; хорошая переносимость в жесткой воде. Стабильные к щелочам восковые эмульсии, которые имеют хорошую переносимость к щелочным растворам; плохая переносимость к кислой среде; плохую переносимость к жесткой воде. Парафиновые эмульсии могут быть получены либо периодическим способом или непрерывным способом.</w:t>
      </w:r>
    </w:p>
    <w:p w14:paraId="30C7D8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Периодический способ.</w:t>
      </w:r>
    </w:p>
    <w:p w14:paraId="7DD7FB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стабильные к кислотам: растворяют каучк в водной фазе, будучи уверенным, что каучук становится полностью увлажненной. Низшие сорта каучука может содержать песок или другие нерастворимые примеси, которые должны быть отделены от воды, чтобы избежать чрезмерного износа гомогенизатора. Лигносульфонат затем растворяют в воде. Вода нагревается до температуры зависит от температуры плавления воска. Расплавленный парафин медленно добавляли к водной фазе при хорошем перемешивании.Это перемешивание должно быть достаточным для эффективного разгона расплавленного воска.</w:t>
      </w:r>
    </w:p>
    <w:p w14:paraId="61E91B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Гомогенизируют при 3000-5000 фунтов на квадратный дюйм, один или два прохода, в зависимости от диапазона размера частиц. После гомогенизации </w:t>
      </w:r>
      <w:r>
        <w:rPr>
          <w:rFonts w:ascii="Times New Roman CYR" w:hAnsi="Times New Roman CYR" w:cs="Times New Roman CYR"/>
          <w:kern w:val="0"/>
          <w:sz w:val="28"/>
          <w:szCs w:val="28"/>
        </w:rPr>
        <w:lastRenderedPageBreak/>
        <w:t>эмульсию быстро охлаждают.  В большинстве случаев, эмульсии со всеми частицами воска ниже трех микрометров и, предпочтительно, ниже двух микрометров лучшего. Это даст хорошую механическую стабильность и будет производить хорошиее покрытия волокна.</w:t>
      </w:r>
    </w:p>
    <w:p w14:paraId="46E30D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стабильные к щелочам: Растворяют жирную кислоту в расплавленном воске, нагревают водную фазу до соответствующей температуры и действовуют, как описано выше.</w:t>
      </w:r>
    </w:p>
    <w:p w14:paraId="0F9C06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Непрерывный способ.</w:t>
      </w:r>
    </w:p>
    <w:p w14:paraId="6FB58F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1960 году Gaulin Corporation разработали методику изготовления восковых эмульсий непрерывно. Хотя этот метод не используется так часто, как периодическим способом, что описан выше. Водную фазу нагревают пропуская ее через пластинчатый теплообменник. Воск расплавляют, две фазы непрерывно перемешивают путем объединения их в смесительном устройстве. Из двух фаз, только один нуждается в регулировании в отношении расхода. Гомогенизатор поршневой насос.</w:t>
      </w:r>
    </w:p>
    <w:p w14:paraId="2349F2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Смесительное устройство состоит из реактивного сопла внутри камеры. Воск вводят через форсунки, и вода поступает в камеру, окружающую поток воска. Это позволяет произвести хорошую предварительную смесь в гомогенизаторе. Начальные эмульсии гомогенизируют при 3000-5000 фунтов на квадратный дюйм.</w:t>
      </w:r>
    </w:p>
    <w:p w14:paraId="66D79B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Эмульсию затем охлаждают в пластинчатом теплообменнике.</w:t>
      </w:r>
    </w:p>
    <w:p w14:paraId="7878B28A"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49664B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используемой литературы</w:t>
      </w:r>
    </w:p>
    <w:p w14:paraId="746383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B84D4B" w14:textId="77777777" w:rsidR="00000000" w:rsidRDefault="00000000">
      <w:pPr>
        <w:widowControl w:val="0"/>
        <w:tabs>
          <w:tab w:val="left" w:pos="567"/>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Ребиндер, П.А. Физико-химическая механика дисперсных структур / П.А. Ребинер. - М.: Наука, 1966. - 284 с.</w:t>
      </w:r>
    </w:p>
    <w:p w14:paraId="417A0BE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Ребиндер, П.А. Проблемы физико-химической механики волокнистых и пористых дисперсных структур и материалов / П.А. Ребиндер. - Рига,1967 - 624 с.</w:t>
      </w:r>
    </w:p>
    <w:p w14:paraId="0226F4E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Ребиндер, П.А. Избранные труды. Коллоидная химия. Физико-химическая механика / П.А. Ребиндер. - М.: Наука, 1979. - 384с.</w:t>
      </w:r>
    </w:p>
    <w:p w14:paraId="2B8E424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Сюняев, З.И. Нефтяные дисперсные системы / З.И. Сюняев, Р.З. Сюняев, Р.З. Сафиева. - М.: Химия, 1990.- 224 с.</w:t>
      </w:r>
    </w:p>
    <w:p w14:paraId="0B9130A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Прикладная физико-химическая механика нефтяных дисперсных систем Учебное пособие по спецкурсу для студентов специальности 0801 - «Химическая технология переработки нефти и газа». / З.И. Сюняев. - М.: МИНХ и НГ, 1982. - 99 с.</w:t>
      </w:r>
    </w:p>
    <w:p w14:paraId="5C0544F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Сафиева, Р.З. Физикохимия нефти. Физико-химические основы технологии переработки нефти / Р. З. Сафиева / под ред. В. Н. Кошелева. - М.: Химия, 1998. - 448 с.</w:t>
      </w:r>
    </w:p>
    <w:p w14:paraId="5134D6E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Сафиева, Р.З. Коллоидно-дисперсное строение нефтяных систем и методы его исследования. / Р.З. Сафиева, Р.З. Сюняев. - М.: ГАНГ, 1991. - 71с.</w:t>
      </w:r>
    </w:p>
    <w:p w14:paraId="73256E2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Туманян, Б.П. Коллоидная химия нефти и нефтепродуктов. / Б.П. Туманян, Г.И. Фукс. - М.: Техника, 2001. - 95 с.</w:t>
      </w:r>
    </w:p>
    <w:p w14:paraId="7E00A3C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9.</w:t>
      </w:r>
      <w:r>
        <w:rPr>
          <w:rFonts w:ascii="Times New Roman CYR" w:hAnsi="Times New Roman CYR" w:cs="Times New Roman CYR"/>
          <w:kern w:val="0"/>
          <w:sz w:val="28"/>
          <w:szCs w:val="28"/>
          <w:lang w:val="en-US"/>
        </w:rPr>
        <w:tab/>
        <w:t>Schramm, L.L. Emulsions, Foams, and Suspensions: Fundamentals and Applications. / L.L. Schramm John - NY, John Wiley &amp; Sons, 2006 - 463 p.</w:t>
      </w:r>
    </w:p>
    <w:p w14:paraId="799773E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en-US"/>
        </w:rPr>
        <w:tab/>
        <w:t>Bennett, H. Commercial Waxes: Natural and Synthetic. / H. Bennett. - NY, Bennett Press, 2007. - 604 p.</w:t>
      </w:r>
    </w:p>
    <w:p w14:paraId="4247A10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en-US"/>
        </w:rPr>
        <w:tab/>
        <w:t xml:space="preserve">Smith, L. Theory and Practice of Emulsion Technology / Proceedings of a </w:t>
      </w:r>
      <w:r>
        <w:rPr>
          <w:rFonts w:ascii="Times New Roman CYR" w:hAnsi="Times New Roman CYR" w:cs="Times New Roman CYR"/>
          <w:kern w:val="0"/>
          <w:sz w:val="28"/>
          <w:szCs w:val="28"/>
          <w:lang w:val="en-US"/>
        </w:rPr>
        <w:lastRenderedPageBreak/>
        <w:t>Symposium Organized by the Society of Chemical Industry and Held at Brunel University. / Chapter 14, Wax Emulsions: Formation and Manufacture. / L. Smith. NY, Academic Press, 1976. - 352 p.</w:t>
      </w:r>
    </w:p>
    <w:p w14:paraId="50F906C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en-US"/>
        </w:rPr>
        <w:tab/>
        <w:t>Becker, J.R. Crude oil Waxes, Emulsions and Asphaltenes. / J.R. Becker - Tulsa, PennWell Publishing Company, 1997. - 276 p.</w:t>
      </w:r>
    </w:p>
    <w:p w14:paraId="7C85981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en-US"/>
        </w:rPr>
        <w:tab/>
        <w:t>Freund, M. Paraffin products, properties, technologies, applications. / M. Freund [and the others] / Ed. Gy Mozes. - Budapest, The Publishing House of the Hungarian Academy of Sciences, 1982. - 337 p.</w:t>
      </w:r>
    </w:p>
    <w:p w14:paraId="2C29ADF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en-US"/>
        </w:rPr>
        <w:tab/>
        <w:t>Thirupathi, V. Preservation of fruits and vegetables by wax coating [</w:t>
      </w:r>
      <w:r>
        <w:rPr>
          <w:rFonts w:ascii="Times New Roman CYR" w:hAnsi="Times New Roman CYR" w:cs="Times New Roman CYR"/>
          <w:kern w:val="0"/>
          <w:sz w:val="28"/>
          <w:szCs w:val="28"/>
        </w:rPr>
        <w:t>Электронный</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ресурс</w:t>
      </w:r>
      <w:r>
        <w:rPr>
          <w:rFonts w:ascii="Times New Roman CYR" w:hAnsi="Times New Roman CYR" w:cs="Times New Roman CYR"/>
          <w:kern w:val="0"/>
          <w:sz w:val="28"/>
          <w:szCs w:val="28"/>
          <w:lang w:val="en-US"/>
        </w:rPr>
        <w:t>] / V.Thirupathi, S.Sasikala, Z.John Kennedy. // Science Tech. Entrepreneur</w:t>
      </w:r>
      <w:r>
        <w:rPr>
          <w:rFonts w:ascii="Times New Roman CYR" w:hAnsi="Times New Roman CYR" w:cs="Times New Roman CYR"/>
          <w:kern w:val="0"/>
          <w:sz w:val="28"/>
          <w:szCs w:val="28"/>
        </w:rPr>
        <w:t>, 2006. - Режим доступа:</w:t>
      </w:r>
    </w:p>
    <w:p w14:paraId="560381F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15.</w:t>
      </w:r>
      <w:r>
        <w:rPr>
          <w:rFonts w:ascii="Times New Roman CYR" w:hAnsi="Times New Roman CYR" w:cs="Times New Roman CYR"/>
          <w:kern w:val="0"/>
          <w:sz w:val="28"/>
          <w:szCs w:val="28"/>
          <w:lang w:val="en-US"/>
        </w:rPr>
        <w:tab/>
        <w:t>Tadros, T.F. Applied Surfactants: Principles and Applications. / T.F. Tadros - Weinheim, Wiley-VCH Verlag GmbH &amp; Co. KGaA, 2005. - 654 p.</w:t>
      </w:r>
    </w:p>
    <w:p w14:paraId="5F9DEB7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en-US"/>
        </w:rPr>
        <w:tab/>
        <w:t>Liang, W.P. Emulsion Science and Technology. / W.P. Liang - Beijing : Science Press, 2001.</w:t>
      </w:r>
    </w:p>
    <w:p w14:paraId="4860504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en-US"/>
        </w:rPr>
        <w:tab/>
        <w:t>Melle, Sonia. Pickering Emulsions with Controllable Stability / Sonia Melle, Mauricio Lask, Gerald G. Fuller. // Langmuir - 2005. - Vol.21. - P. 2158-2162.</w:t>
      </w:r>
    </w:p>
    <w:p w14:paraId="31F3EE1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en-US"/>
        </w:rPr>
        <w:tab/>
        <w:t>Ashby, N.P. Pickering emulsions stabilised by Laponite clay particles. / N.P. Ashby, B.P. Binks. // Physical Chemistry Chemical Physics, 2000. - Vol.2. - P. 5640-5646.</w:t>
      </w:r>
    </w:p>
    <w:p w14:paraId="760284D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en-US"/>
        </w:rPr>
        <w:tab/>
        <w:t xml:space="preserve">Binks, B.P. Particles as surfactants similarities and differences. / B.P. Binks // Current Opinion in Colloid &amp; Interface Science. - 2002. - Vol.7. - P. 21-24. - Elsevier B.V., 2002. - Режим доступа: http://www.sciencedirect.com. </w:t>
      </w: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 xml:space="preserve"> Загл. с экрана.</w:t>
      </w:r>
    </w:p>
    <w:p w14:paraId="59AFB9D9" w14:textId="77777777" w:rsidR="006849F9"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en-US"/>
        </w:rPr>
        <w:tab/>
        <w:t>Aveyard, R. Emulsions stabilised solely by colloidal particles / R. Aveyard, B.P. Binks, J.H. Clint // Advances in Colloid and Interface Science. - 2003. - Vol. 102. - P. 503-546. - Elsevier B.V., 2003.</w:t>
      </w:r>
    </w:p>
    <w:sectPr w:rsidR="006849F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559"/>
    <w:rsid w:val="006849F9"/>
    <w:rsid w:val="00B77559"/>
    <w:rsid w:val="00E86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75725E"/>
  <w14:defaultImageDpi w14:val="0"/>
  <w15:docId w15:val="{CE18BFE7-644D-40EA-AFFA-5262E56F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9.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5" Type="http://schemas.openxmlformats.org/officeDocument/2006/relationships/theme" Target="theme/theme1.xml"/><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53</Pages>
  <Words>11838</Words>
  <Characters>67477</Characters>
  <Application>Microsoft Office Word</Application>
  <DocSecurity>0</DocSecurity>
  <Lines>562</Lines>
  <Paragraphs>158</Paragraphs>
  <ScaleCrop>false</ScaleCrop>
  <Company/>
  <LinksUpToDate>false</LinksUpToDate>
  <CharactersWithSpaces>79157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2025-12-11T10:01:00Z</dcterms:created>
  <dcterms:modified xsi:type="dcterms:W3CDTF">2025-12-11T10:01:00Z</dcterms:modified>
</cp:coreProperties>
</file>