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D107E"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Министерство образования Республики Беларусь</w:t>
      </w:r>
    </w:p>
    <w:p w14:paraId="53BE7FD9"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Учреждение образования</w:t>
      </w:r>
    </w:p>
    <w:p w14:paraId="4E3B8C03"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«Гомельский государственный университет имени Франциска Скорины»</w:t>
      </w:r>
    </w:p>
    <w:p w14:paraId="5D77234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Биологический факультет</w:t>
      </w:r>
    </w:p>
    <w:p w14:paraId="3E926DD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Кафедра химии</w:t>
      </w:r>
    </w:p>
    <w:p w14:paraId="128C5FF2"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E4979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B562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8A07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491B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C051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A10BF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F7F6CE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Курсовая работа</w:t>
      </w:r>
    </w:p>
    <w:p w14:paraId="3680F54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Соединения свинца (II) в системе почва - растения</w:t>
      </w:r>
    </w:p>
    <w:p w14:paraId="0C4EF3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EF74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46EAF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Исполнитель: студент группы Б-34</w:t>
      </w:r>
    </w:p>
    <w:p w14:paraId="07B0921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Р.Л. Дегтярёв</w:t>
      </w:r>
    </w:p>
    <w:p w14:paraId="1BE17B7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Научный руководитель: к.х.н., доцент</w:t>
      </w:r>
    </w:p>
    <w:p w14:paraId="34492D9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А.В. Хаданович</w:t>
      </w:r>
    </w:p>
    <w:p w14:paraId="7665B7C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3748AF5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7A7BE9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CC3D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6689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C0B4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DC02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60A009"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Гомель 2013</w:t>
      </w:r>
    </w:p>
    <w:p w14:paraId="23E861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24FC91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08668C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2622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последние десятилетия в связи с быстрым развитием промышленности во всем мире усиливается загрязнение окружающей среды тяжелыми металлами в масштабах, которые не свойственны природе. В силу этого возрастание их содержания в окружающей среде становится серьезной экологической проблемой современности [1].</w:t>
      </w:r>
    </w:p>
    <w:p w14:paraId="0F1550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Тяжелые металлы - химические вещества, с металлическими свойствами, имеющие относительно большую плотность при малой концентрации, обладающие аккумулятивной способностью.</w:t>
      </w:r>
    </w:p>
    <w:p w14:paraId="3FCCAF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Загрязнение окружающей среды, в особенности тяжелыми металлами - один из наиболее сильных факторов разрушения компонентов биосферы. Потребление энергии и минеральных ресурсов человеком - главная причина загрязнения биосферы тяжёлыми металлами. Следовательно, исследования в этой области являются важной актуальной задачей [3].</w:t>
      </w:r>
    </w:p>
    <w:p w14:paraId="2A7904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Значительное увеличение содержания тяжелых металлов в окружающей среде сопровождается их накоплением в растениях, что оказывает негативное влияние на рост, развитие и продуктивность. В связи с этим изучение реакции растений на действие тяжелых металлов вызывает не только большой научный, но и практический интерес [4].</w:t>
      </w:r>
    </w:p>
    <w:p w14:paraId="7FA507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Потребление энергии и минеральных ресурсов человеком - главная причина загрязнения биосферы тяжёлыми металлами. Тяжёлые металлы, выделяющиеся из антропогенных источников, поступают в окружающую среду и вовлекаются в нормальные биогеохимические циклы. Исследование переноса, времени пребывания и судьбы загрязнений в каждой экосистеме представляет собой специальную задачу охраны окружающей среды. Поведение тяжёлых металлов в любой экосистеме очень сложно, и поэтому обычно оно изучается </w:t>
      </w:r>
      <w:r>
        <w:rPr>
          <w:rFonts w:ascii="Times New Roman CYR" w:hAnsi="Times New Roman CYR" w:cs="Times New Roman CYR"/>
          <w:kern w:val="0"/>
          <w:sz w:val="28"/>
          <w:szCs w:val="28"/>
        </w:rPr>
        <w:lastRenderedPageBreak/>
        <w:t>раздельно в воздухе, воде, почве и живых организмах.</w:t>
      </w:r>
    </w:p>
    <w:p w14:paraId="792299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6416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DC3FA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Пути поступления тяжелых металлов в почву</w:t>
      </w:r>
    </w:p>
    <w:p w14:paraId="626CB6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9C25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последние десятилетия человек стал причиной быстрой деградации почв, хотя потери почв имели место на протяжении всей человеческой истории. Насчитывают не менее 6 типов антропогенно-технических воздействий, которые могут вызвать разного уровня ухудшение почв. В их числе:</w:t>
      </w:r>
    </w:p>
    <w:p w14:paraId="245406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водная и ветровая эрозия.</w:t>
      </w:r>
    </w:p>
    <w:p w14:paraId="467765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засоление, подщелачивание, подкисление.</w:t>
      </w:r>
    </w:p>
    <w:p w14:paraId="6D6C73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заболачивание.</w:t>
      </w:r>
    </w:p>
    <w:p w14:paraId="74A6FF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физическая деградация, включая уплотнение и коркообразование.</w:t>
      </w:r>
    </w:p>
    <w:p w14:paraId="45AB17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разрушение и отчуждение почвы при строительстве, добыче полезных ископаемых.</w:t>
      </w:r>
    </w:p>
    <w:p w14:paraId="4FA2A5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химическое загрязнение почв.</w:t>
      </w:r>
    </w:p>
    <w:p w14:paraId="2DA884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Одним из типов антропогенно-технических воздействий является загрязнения почвы тяжелыми металлами. Этот вид загрязняющих веществ начали изучать одним из первых. К тяжелым металлам обычно относят элементы, которые имеют атомную массу более 50. Из атмосферы в почву тяжелые металлы попадают чаще всего в форме оксидов, где постепенно растворяются, переходя в гидрооксиды, карбонаты или в форму обменных катионов. Если почва прочно связывает тяжелые металлы (обычно в богатых гумусом тяжелосуглинистых и глинистых почвах), это предохраняет от загрязнения грунтовые и питьевые воды, растительную продукцию. Но тогда сама почва постепенно становится все более загрязненной и в какой-то момент может произойти разрушение органического вещества почвы с выбросом тяжелых металлов в почвенный раствор. В итоге такая почва окажется непригодной для сельскохозяйственного использования. Общее количество свинца, которое может задержать метровый слой почвы на одном гектаре, </w:t>
      </w:r>
      <w:r>
        <w:rPr>
          <w:rFonts w:ascii="Times New Roman CYR" w:hAnsi="Times New Roman CYR" w:cs="Times New Roman CYR"/>
          <w:kern w:val="0"/>
          <w:sz w:val="28"/>
          <w:szCs w:val="28"/>
        </w:rPr>
        <w:lastRenderedPageBreak/>
        <w:t>достигает 500 - 600 т; такого количества свинца даже при очень сильном загрязнении в обычной обстановке не бывает. Почвы песчаные, малогумусные, устойчивы против загрязнения; это значит, что они слабо связывают тяжелые металлы, легко отдают их растениям или пропускают их через себя с фильтрующимися водами. На таких почвах возрастает опасность загрязнения растений и подземных вод. В этом заключается одно из трудноразрешимых противоречий: легко загрязняющиеся почвы предохраняют окружающую среду, но почвы, устойчивые к загрязнению, не обладают защитными свойствами в отношении живых организмов и природных вод.</w:t>
      </w:r>
    </w:p>
    <w:p w14:paraId="34ECF6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Источники эмиссии тяжелых металлов и пути их проникновения в окружающую среду весьма разнообразны, они могут носить как природный, так и антропогенный характер. Большинство тяжелых металлов поступает в окружающую среду в результате деятельности человека. Источником природной эмиссии тяжелых металлов в окружающую среду является извержение вулканов, лесные пожары, морская вода и др. Главные антропогенные источники поступления тяжелых металлов в биосферу - топливные электростанции, предприятия по добычи и переработке цветных металлов, транспорт, машино-строительство, химическая промышленность, сельскохозяйственное производство. При этом общая масса металлов, поступающих от природных источников значительно ниже, чем от антропогенных: свинца в 17,2 раза, кадмия - 8,8, цинка - 7,2. Техногенное поступление тяжелых металлов в окружающую среду происходит в виде пыли газов и аэрозолей (возгонка металлов промышленных предприятий и автотранспорта), в составе сточных вод бытовых отходов.</w:t>
      </w:r>
    </w:p>
    <w:p w14:paraId="01B89EF6"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свинец почва сорбент природный</w:t>
      </w:r>
    </w:p>
    <w:p w14:paraId="22B6E1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5CF27321" w14:textId="60E03D95" w:rsidR="00000000" w:rsidRDefault="00F9011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8E6BC97" wp14:editId="12C66A14">
            <wp:extent cx="3169920" cy="365760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69920" cy="3657600"/>
                    </a:xfrm>
                    <a:prstGeom prst="rect">
                      <a:avLst/>
                    </a:prstGeom>
                    <a:noFill/>
                    <a:ln>
                      <a:noFill/>
                    </a:ln>
                  </pic:spPr>
                </pic:pic>
              </a:graphicData>
            </a:graphic>
          </wp:inline>
        </w:drawing>
      </w:r>
    </w:p>
    <w:p w14:paraId="5C379E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Рисунок 1 - Трансформация и миграция тяжелых металлов в почве [5]</w:t>
      </w:r>
    </w:p>
    <w:p w14:paraId="5CD1AC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C51D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Загрязнение тяжелыми металлами может происходить и за счет сельского хозяйства, основными источниками которого является: использование в качестве удобрений сточных вод и их осадков, примеси тяжелых металлов в удобрениях (например, кадмий и уран в фосфорных удобрениях), использование пестицидов, отходы интенсивного птицеводства и животноводства. Так из всех используемых в сельском хозяйстве удобрений самыми загрязненными являются фосфорные. Основным загрязнителем в них является кадмий. Исследования показали, что тяжелые металлы в удобрениях находятся в виде примесей, максимальное их количество находится в фосфорных удобрениях и доломитовой муке.</w:t>
      </w:r>
    </w:p>
    <w:p w14:paraId="0F1A89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Таким образом, уровни содержания тяжелых металлов в почвах агроэкосистем формируется под воздействием антропогенных и природных факторов. Тяжелые металлы, прежде всего, накапливаются в почвенном </w:t>
      </w:r>
      <w:r>
        <w:rPr>
          <w:rFonts w:ascii="Times New Roman CYR" w:hAnsi="Times New Roman CYR" w:cs="Times New Roman CYR"/>
          <w:kern w:val="0"/>
          <w:sz w:val="28"/>
          <w:szCs w:val="28"/>
        </w:rPr>
        <w:lastRenderedPageBreak/>
        <w:t>покрове, где они распределяются между твердой и жидкой фазой почвы. В одной и тоже почве металлы могут находиться в разной по растворимости и подвижности формах. От того, как сильно тяжелые металлы поглощаются и удерживаются почвой и в, какой форме находятся, зависит их фототаксичность и аккумуляция в растениях.</w:t>
      </w:r>
    </w:p>
    <w:p w14:paraId="082C3D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основной формой загрязнителя в почве является малоподвижная или неподвижная (в поглощенном состоянии, в виде нерастворимых или труднорастворимых соединений), угроза проявления токсических свойств металлов будет минимальна и наоборот. В свою очередь, свойства почвы определяют прочность фиксации соединений элементов и ее буферную способность по отношению к тяжелым металлам, влияют на токсичность для растений. Чем больше и прочнее почва удерживает тяжелые металлы, тем активнее они удаляются из почвенного раствора в состав соединений твердой фазы. Поэтому изучение закономерностей поведения тяжелых металлов в почве и выявление факторов, влияющих на эти процессы, имеет важное агроэкологическое значение [10].</w:t>
      </w:r>
    </w:p>
    <w:p w14:paraId="244101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Поэтому в изучении путей поступления тяжелых металлов в почву имеет важное научно-практическое значение. Если почвы загрязнены тяжелыми металлами и радионуклидами, то очистить их практически невозможно. Пока известен единственный путь: засеять такие почвы быстрорастущими культурами, дающими большую зеленую массу; такие культуры извлекают из почвы токсичные элементы, а затем собранный урожай подлежит уничтожению. Но это довольно длительная и дорогостоящая процедура. Можно снизить подвижность токсичных соединений и поступление их в растения, если повысить рН почв известкованием или добавлять большие дозы органических веществ, например торфа. Неплохой эффект может дать глубокая вспашка, когда верхний загрязненный слой почвы при вспашке опускают на глубину 50 - 70 см, а глубокие слои почвы поднимают на поверхность. Для этого можно </w:t>
      </w:r>
      <w:r>
        <w:rPr>
          <w:rFonts w:ascii="Times New Roman CYR" w:hAnsi="Times New Roman CYR" w:cs="Times New Roman CYR"/>
          <w:kern w:val="0"/>
          <w:sz w:val="28"/>
          <w:szCs w:val="28"/>
        </w:rPr>
        <w:lastRenderedPageBreak/>
        <w:t>воспользоваться специальными многоярусными плугами, но при этом глубокие слои все равно остаются загрязненными.</w:t>
      </w:r>
    </w:p>
    <w:p w14:paraId="6CDA61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Наконец, на загрязненных тяжелыми металлами (но не радионуклидами) почвах можно выращивать культуры, не используемые в качестве продовольствия или кормов, например цветы [3].</w:t>
      </w:r>
    </w:p>
    <w:p w14:paraId="10D75B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E88C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Физико-химические оценки механизмов поглощения свинца (II)</w:t>
      </w:r>
    </w:p>
    <w:p w14:paraId="647528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A6C7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механизмов связывания свинца называют осаждение его малорастворимых солей и обменное или необменное поглощение гидроксидами металлов, силикатами и органическим веществом почв. К малорастворимым соединениям свинца относят природные минералы, основными из которых является галенит (PbS), встречающийся во многих районах земного шара, а так же рудные минералы англезит (PbSO4), церуссит (PbCO3), пироморфит (PbCl2*3Pb3(PO4)2) и милитезит (PbCl2*3Pb3(AsJ4)3). Эти соединения, очевидно, и попадают в почвы вблизи разработок рудных месторождений. Металлический свинец сравнительно устойчив к воздействию природных факторов, поскольку под влиянием воздуха и паров воды на его поверхности образуется плёнка оксикарбоната, защищающая металл от дальнейшего окисления. Воздействие воды, содержащей растворённый кислород, приводит к образованию гидроксидов свинца, растворение которых и делает воду токсичной.</w:t>
      </w:r>
    </w:p>
    <w:p w14:paraId="025076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Оксид свинца (II) образуется при нагревании металла на воздухе. Другими оксидами являются Pb6O2 и Pb3O4. Первый из них входит в состав пластин свинцовых аккумуляторов, второй используют в качестве пигмента красок. В щелочных растворах образуются гидроксокомплексы [Pb4(OH)4]4+, [Pb2(OH)]3+, [Pb3(OH)4]2+, [Pb(OH)]+, [Pb6(OH)8]4+, [Pb(OH)2]0.</w:t>
      </w:r>
    </w:p>
    <w:p w14:paraId="63D988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Нитрат свинца хорошо растворим в воде, но при его диссоциации в воде </w:t>
      </w:r>
      <w:r>
        <w:rPr>
          <w:rFonts w:ascii="Times New Roman CYR" w:hAnsi="Times New Roman CYR" w:cs="Times New Roman CYR"/>
          <w:kern w:val="0"/>
          <w:sz w:val="28"/>
          <w:szCs w:val="28"/>
        </w:rPr>
        <w:lastRenderedPageBreak/>
        <w:t>образуется стабильный комплекс. Оксигалиды свинца Pb2OCl2, Pb3O2CI2, Pb3OCl4 известны как минералы.</w:t>
      </w:r>
    </w:p>
    <w:p w14:paraId="2B492D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Гидрофосфат (PbHPO4) образует малорастворимый в воде минерал монетит. Соединения с общей формулой [3 Pb3(PO4)2 * PbX2], где X - Сl, Br или OH называют апатитами свинца. Хлорапатит свинца встречается в природе в виде минерала хлоропироморфита (Pb5(PO4)3Сl). Карбонат PbCO3 является одним из наименее растворимых соединений свинца. В природе он встречается в виде минерала церуссита. Растворимость его заметно возрастает в присутствии растворимого в воде углекислого газа. Ещё менее растворим сульфид свинца - галенит. На воздухе он постепенно окисляется, в результате чего при нахождении сульфидной руды на воздухе галенит постепенно покрывается сначала коркой англезита PbSO4, который затем с поверхности переходит в церуссит. Растворимость некоторых соединений свинца и их произведения растворимости.</w:t>
      </w:r>
    </w:p>
    <w:p w14:paraId="3154A6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Исходя из этих данных можно сделать вывод о том, что в жидкой фазе почв концентрацию элемента могли бы контролировать только карбонат, сульфид и пироморфит свинца. Наличие в почвах кальцита, концентрация которого существенно выше, чем у церуссита, приводит к появлению в почвенном растворе ионов карбонатов и гидрокарбанатов в концентрациях, достаточных для осаждения ионов свинца из раствора. Таким образом, в карбонатных почвах связывание ионов свинца происходит за счёт осаждения церуссита.</w:t>
      </w:r>
    </w:p>
    <w:p w14:paraId="178164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072D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1 - Растворимость некоторых соединений свинца (II) в воде</w:t>
      </w: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6"/>
        <w:gridCol w:w="2066"/>
        <w:gridCol w:w="1846"/>
        <w:gridCol w:w="1846"/>
        <w:gridCol w:w="1588"/>
      </w:tblGrid>
      <w:tr w:rsidR="00000000" w14:paraId="392F78D1" w14:textId="77777777">
        <w:tblPrEx>
          <w:tblCellMar>
            <w:top w:w="0" w:type="dxa"/>
            <w:bottom w:w="0" w:type="dxa"/>
          </w:tblCellMar>
        </w:tblPrEx>
        <w:tc>
          <w:tcPr>
            <w:tcW w:w="1846" w:type="dxa"/>
            <w:tcBorders>
              <w:top w:val="single" w:sz="6" w:space="0" w:color="auto"/>
              <w:left w:val="single" w:sz="6" w:space="0" w:color="auto"/>
              <w:bottom w:val="single" w:sz="6" w:space="0" w:color="auto"/>
              <w:right w:val="single" w:sz="6" w:space="0" w:color="auto"/>
            </w:tcBorders>
          </w:tcPr>
          <w:p w14:paraId="60740D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соединение</w:t>
            </w:r>
          </w:p>
        </w:tc>
        <w:tc>
          <w:tcPr>
            <w:tcW w:w="2066" w:type="dxa"/>
            <w:tcBorders>
              <w:top w:val="single" w:sz="6" w:space="0" w:color="auto"/>
              <w:left w:val="single" w:sz="6" w:space="0" w:color="auto"/>
              <w:bottom w:val="single" w:sz="6" w:space="0" w:color="auto"/>
              <w:right w:val="single" w:sz="6" w:space="0" w:color="auto"/>
            </w:tcBorders>
          </w:tcPr>
          <w:p w14:paraId="5F3D6C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Растворимость, мг/л</w:t>
            </w:r>
          </w:p>
        </w:tc>
        <w:tc>
          <w:tcPr>
            <w:tcW w:w="1846" w:type="dxa"/>
            <w:tcBorders>
              <w:top w:val="single" w:sz="6" w:space="0" w:color="auto"/>
              <w:left w:val="single" w:sz="6" w:space="0" w:color="auto"/>
              <w:bottom w:val="single" w:sz="6" w:space="0" w:color="auto"/>
              <w:right w:val="single" w:sz="6" w:space="0" w:color="auto"/>
            </w:tcBorders>
          </w:tcPr>
          <w:p w14:paraId="526FD6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r>
              <w:rPr>
                <w:rFonts w:ascii="Times New Roman CYR" w:hAnsi="Times New Roman CYR" w:cs="Times New Roman CYR"/>
                <w:kern w:val="0"/>
                <w:sz w:val="20"/>
                <w:szCs w:val="20"/>
                <w:lang w:val="en-US"/>
              </w:rPr>
              <w:t>lg</w:t>
            </w:r>
            <w:r>
              <w:rPr>
                <w:rFonts w:ascii="Times New Roman CYR" w:hAnsi="Times New Roman CYR" w:cs="Times New Roman CYR"/>
                <w:kern w:val="0"/>
                <w:sz w:val="20"/>
                <w:szCs w:val="20"/>
              </w:rPr>
              <w:t>, моль/л</w:t>
            </w:r>
          </w:p>
        </w:tc>
        <w:tc>
          <w:tcPr>
            <w:tcW w:w="1846" w:type="dxa"/>
            <w:tcBorders>
              <w:top w:val="single" w:sz="6" w:space="0" w:color="auto"/>
              <w:left w:val="single" w:sz="6" w:space="0" w:color="auto"/>
              <w:bottom w:val="single" w:sz="6" w:space="0" w:color="auto"/>
              <w:right w:val="single" w:sz="6" w:space="0" w:color="auto"/>
            </w:tcBorders>
          </w:tcPr>
          <w:p w14:paraId="27759C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w:t>
            </w:r>
          </w:p>
        </w:tc>
        <w:tc>
          <w:tcPr>
            <w:tcW w:w="1588" w:type="dxa"/>
            <w:tcBorders>
              <w:top w:val="single" w:sz="6" w:space="0" w:color="auto"/>
              <w:left w:val="single" w:sz="6" w:space="0" w:color="auto"/>
              <w:bottom w:val="single" w:sz="6" w:space="0" w:color="auto"/>
              <w:right w:val="single" w:sz="6" w:space="0" w:color="auto"/>
            </w:tcBorders>
          </w:tcPr>
          <w:p w14:paraId="65FD15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t</w:t>
            </w:r>
            <w:r>
              <w:rPr>
                <w:rFonts w:ascii="Times New Roman CYR" w:hAnsi="Times New Roman CYR" w:cs="Times New Roman CYR"/>
                <w:kern w:val="0"/>
                <w:sz w:val="20"/>
                <w:szCs w:val="20"/>
              </w:rPr>
              <w:t>,С</w:t>
            </w:r>
          </w:p>
        </w:tc>
      </w:tr>
      <w:tr w:rsidR="00000000" w14:paraId="4CEE1A0D" w14:textId="77777777">
        <w:tblPrEx>
          <w:tblCellMar>
            <w:top w:w="0" w:type="dxa"/>
            <w:bottom w:w="0" w:type="dxa"/>
          </w:tblCellMar>
        </w:tblPrEx>
        <w:tc>
          <w:tcPr>
            <w:tcW w:w="1846" w:type="dxa"/>
            <w:tcBorders>
              <w:top w:val="single" w:sz="6" w:space="0" w:color="auto"/>
              <w:left w:val="single" w:sz="6" w:space="0" w:color="auto"/>
              <w:bottom w:val="single" w:sz="6" w:space="0" w:color="auto"/>
              <w:right w:val="single" w:sz="6" w:space="0" w:color="auto"/>
            </w:tcBorders>
          </w:tcPr>
          <w:p w14:paraId="6D3ABA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Pb(OH)2</w:t>
            </w:r>
          </w:p>
        </w:tc>
        <w:tc>
          <w:tcPr>
            <w:tcW w:w="2066" w:type="dxa"/>
            <w:tcBorders>
              <w:top w:val="single" w:sz="6" w:space="0" w:color="auto"/>
              <w:left w:val="single" w:sz="6" w:space="0" w:color="auto"/>
              <w:bottom w:val="single" w:sz="6" w:space="0" w:color="auto"/>
              <w:right w:val="single" w:sz="6" w:space="0" w:color="auto"/>
            </w:tcBorders>
          </w:tcPr>
          <w:p w14:paraId="010518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11,4</w:t>
            </w:r>
          </w:p>
        </w:tc>
        <w:tc>
          <w:tcPr>
            <w:tcW w:w="1846" w:type="dxa"/>
            <w:tcBorders>
              <w:top w:val="single" w:sz="6" w:space="0" w:color="auto"/>
              <w:left w:val="single" w:sz="6" w:space="0" w:color="auto"/>
              <w:bottom w:val="single" w:sz="6" w:space="0" w:color="auto"/>
              <w:right w:val="single" w:sz="6" w:space="0" w:color="auto"/>
            </w:tcBorders>
          </w:tcPr>
          <w:p w14:paraId="3B8703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5,5*10</w:t>
            </w:r>
          </w:p>
        </w:tc>
        <w:tc>
          <w:tcPr>
            <w:tcW w:w="1846" w:type="dxa"/>
            <w:tcBorders>
              <w:top w:val="single" w:sz="6" w:space="0" w:color="auto"/>
              <w:left w:val="single" w:sz="6" w:space="0" w:color="auto"/>
              <w:bottom w:val="single" w:sz="6" w:space="0" w:color="auto"/>
              <w:right w:val="single" w:sz="6" w:space="0" w:color="auto"/>
            </w:tcBorders>
          </w:tcPr>
          <w:p w14:paraId="45ADD4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w:t>
            </w:r>
          </w:p>
        </w:tc>
        <w:tc>
          <w:tcPr>
            <w:tcW w:w="1588" w:type="dxa"/>
            <w:tcBorders>
              <w:top w:val="single" w:sz="6" w:space="0" w:color="auto"/>
              <w:left w:val="single" w:sz="6" w:space="0" w:color="auto"/>
              <w:bottom w:val="single" w:sz="6" w:space="0" w:color="auto"/>
              <w:right w:val="single" w:sz="6" w:space="0" w:color="auto"/>
            </w:tcBorders>
          </w:tcPr>
          <w:p w14:paraId="38B32D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w:t>
            </w:r>
          </w:p>
        </w:tc>
      </w:tr>
      <w:tr w:rsidR="00000000" w14:paraId="64D9B441" w14:textId="77777777">
        <w:tblPrEx>
          <w:tblCellMar>
            <w:top w:w="0" w:type="dxa"/>
            <w:bottom w:w="0" w:type="dxa"/>
          </w:tblCellMar>
        </w:tblPrEx>
        <w:tc>
          <w:tcPr>
            <w:tcW w:w="1846" w:type="dxa"/>
            <w:tcBorders>
              <w:top w:val="single" w:sz="6" w:space="0" w:color="auto"/>
              <w:left w:val="single" w:sz="6" w:space="0" w:color="auto"/>
              <w:bottom w:val="single" w:sz="6" w:space="0" w:color="auto"/>
              <w:right w:val="single" w:sz="6" w:space="0" w:color="auto"/>
            </w:tcBorders>
          </w:tcPr>
          <w:p w14:paraId="656A4A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PbCO3</w:t>
            </w:r>
          </w:p>
        </w:tc>
        <w:tc>
          <w:tcPr>
            <w:tcW w:w="2066" w:type="dxa"/>
            <w:tcBorders>
              <w:top w:val="single" w:sz="6" w:space="0" w:color="auto"/>
              <w:left w:val="single" w:sz="6" w:space="0" w:color="auto"/>
              <w:bottom w:val="single" w:sz="6" w:space="0" w:color="auto"/>
              <w:right w:val="single" w:sz="6" w:space="0" w:color="auto"/>
            </w:tcBorders>
          </w:tcPr>
          <w:p w14:paraId="39BDB7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0,037</w:t>
            </w:r>
          </w:p>
        </w:tc>
        <w:tc>
          <w:tcPr>
            <w:tcW w:w="1846" w:type="dxa"/>
            <w:tcBorders>
              <w:top w:val="single" w:sz="6" w:space="0" w:color="auto"/>
              <w:left w:val="single" w:sz="6" w:space="0" w:color="auto"/>
              <w:bottom w:val="single" w:sz="6" w:space="0" w:color="auto"/>
              <w:right w:val="single" w:sz="6" w:space="0" w:color="auto"/>
            </w:tcBorders>
          </w:tcPr>
          <w:p w14:paraId="3E2894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6,2*10</w:t>
            </w:r>
          </w:p>
        </w:tc>
        <w:tc>
          <w:tcPr>
            <w:tcW w:w="1846" w:type="dxa"/>
            <w:tcBorders>
              <w:top w:val="single" w:sz="6" w:space="0" w:color="auto"/>
              <w:left w:val="single" w:sz="6" w:space="0" w:color="auto"/>
              <w:bottom w:val="single" w:sz="6" w:space="0" w:color="auto"/>
              <w:right w:val="single" w:sz="6" w:space="0" w:color="auto"/>
            </w:tcBorders>
          </w:tcPr>
          <w:p w14:paraId="35CF65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13,48</w:t>
            </w:r>
          </w:p>
        </w:tc>
        <w:tc>
          <w:tcPr>
            <w:tcW w:w="1588" w:type="dxa"/>
            <w:tcBorders>
              <w:top w:val="single" w:sz="6" w:space="0" w:color="auto"/>
              <w:left w:val="single" w:sz="6" w:space="0" w:color="auto"/>
              <w:bottom w:val="single" w:sz="6" w:space="0" w:color="auto"/>
              <w:right w:val="single" w:sz="6" w:space="0" w:color="auto"/>
            </w:tcBorders>
          </w:tcPr>
          <w:p w14:paraId="7064C4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r>
      <w:tr w:rsidR="00000000" w14:paraId="79E2AD72" w14:textId="77777777">
        <w:tblPrEx>
          <w:tblCellMar>
            <w:top w:w="0" w:type="dxa"/>
            <w:bottom w:w="0" w:type="dxa"/>
          </w:tblCellMar>
        </w:tblPrEx>
        <w:tc>
          <w:tcPr>
            <w:tcW w:w="1846" w:type="dxa"/>
            <w:tcBorders>
              <w:top w:val="single" w:sz="6" w:space="0" w:color="auto"/>
              <w:left w:val="single" w:sz="6" w:space="0" w:color="auto"/>
              <w:bottom w:val="single" w:sz="6" w:space="0" w:color="auto"/>
              <w:right w:val="single" w:sz="6" w:space="0" w:color="auto"/>
            </w:tcBorders>
          </w:tcPr>
          <w:p w14:paraId="0EE4FD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PbS</w:t>
            </w:r>
          </w:p>
        </w:tc>
        <w:tc>
          <w:tcPr>
            <w:tcW w:w="2066" w:type="dxa"/>
            <w:tcBorders>
              <w:top w:val="single" w:sz="6" w:space="0" w:color="auto"/>
              <w:left w:val="single" w:sz="6" w:space="0" w:color="auto"/>
              <w:bottom w:val="single" w:sz="6" w:space="0" w:color="auto"/>
              <w:right w:val="single" w:sz="6" w:space="0" w:color="auto"/>
            </w:tcBorders>
          </w:tcPr>
          <w:p w14:paraId="01D45F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6*10</w:t>
            </w:r>
          </w:p>
        </w:tc>
        <w:tc>
          <w:tcPr>
            <w:tcW w:w="1846" w:type="dxa"/>
            <w:tcBorders>
              <w:top w:val="single" w:sz="6" w:space="0" w:color="auto"/>
              <w:left w:val="single" w:sz="6" w:space="0" w:color="auto"/>
              <w:bottom w:val="single" w:sz="6" w:space="0" w:color="auto"/>
              <w:right w:val="single" w:sz="6" w:space="0" w:color="auto"/>
            </w:tcBorders>
          </w:tcPr>
          <w:p w14:paraId="4B688C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2,8*10</w:t>
            </w:r>
          </w:p>
        </w:tc>
        <w:tc>
          <w:tcPr>
            <w:tcW w:w="1846" w:type="dxa"/>
            <w:tcBorders>
              <w:top w:val="single" w:sz="6" w:space="0" w:color="auto"/>
              <w:left w:val="single" w:sz="6" w:space="0" w:color="auto"/>
              <w:bottom w:val="single" w:sz="6" w:space="0" w:color="auto"/>
              <w:right w:val="single" w:sz="6" w:space="0" w:color="auto"/>
            </w:tcBorders>
          </w:tcPr>
          <w:p w14:paraId="04DC49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27,1</w:t>
            </w:r>
          </w:p>
        </w:tc>
        <w:tc>
          <w:tcPr>
            <w:tcW w:w="1588" w:type="dxa"/>
            <w:tcBorders>
              <w:top w:val="single" w:sz="6" w:space="0" w:color="auto"/>
              <w:left w:val="single" w:sz="6" w:space="0" w:color="auto"/>
              <w:bottom w:val="single" w:sz="6" w:space="0" w:color="auto"/>
              <w:right w:val="single" w:sz="6" w:space="0" w:color="auto"/>
            </w:tcBorders>
          </w:tcPr>
          <w:p w14:paraId="12058C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r>
      <w:tr w:rsidR="00000000" w14:paraId="1CBF8620" w14:textId="77777777">
        <w:tblPrEx>
          <w:tblCellMar>
            <w:top w:w="0" w:type="dxa"/>
            <w:bottom w:w="0" w:type="dxa"/>
          </w:tblCellMar>
        </w:tblPrEx>
        <w:tc>
          <w:tcPr>
            <w:tcW w:w="1846" w:type="dxa"/>
            <w:tcBorders>
              <w:top w:val="single" w:sz="6" w:space="0" w:color="auto"/>
              <w:left w:val="single" w:sz="6" w:space="0" w:color="auto"/>
              <w:bottom w:val="single" w:sz="6" w:space="0" w:color="auto"/>
              <w:right w:val="single" w:sz="6" w:space="0" w:color="auto"/>
            </w:tcBorders>
          </w:tcPr>
          <w:p w14:paraId="0824D6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PbHPO4</w:t>
            </w:r>
          </w:p>
        </w:tc>
        <w:tc>
          <w:tcPr>
            <w:tcW w:w="2066" w:type="dxa"/>
            <w:tcBorders>
              <w:top w:val="single" w:sz="6" w:space="0" w:color="auto"/>
              <w:left w:val="single" w:sz="6" w:space="0" w:color="auto"/>
              <w:bottom w:val="single" w:sz="6" w:space="0" w:color="auto"/>
              <w:right w:val="single" w:sz="6" w:space="0" w:color="auto"/>
            </w:tcBorders>
          </w:tcPr>
          <w:p w14:paraId="084DFE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w:t>
            </w:r>
          </w:p>
        </w:tc>
        <w:tc>
          <w:tcPr>
            <w:tcW w:w="1846" w:type="dxa"/>
            <w:tcBorders>
              <w:top w:val="single" w:sz="6" w:space="0" w:color="auto"/>
              <w:left w:val="single" w:sz="6" w:space="0" w:color="auto"/>
              <w:bottom w:val="single" w:sz="6" w:space="0" w:color="auto"/>
              <w:right w:val="single" w:sz="6" w:space="0" w:color="auto"/>
            </w:tcBorders>
          </w:tcPr>
          <w:p w14:paraId="332299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1,8*10</w:t>
            </w:r>
          </w:p>
        </w:tc>
        <w:tc>
          <w:tcPr>
            <w:tcW w:w="1846" w:type="dxa"/>
            <w:tcBorders>
              <w:top w:val="single" w:sz="6" w:space="0" w:color="auto"/>
              <w:left w:val="single" w:sz="6" w:space="0" w:color="auto"/>
              <w:bottom w:val="single" w:sz="6" w:space="0" w:color="auto"/>
              <w:right w:val="single" w:sz="6" w:space="0" w:color="auto"/>
            </w:tcBorders>
          </w:tcPr>
          <w:p w14:paraId="517364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9,92</w:t>
            </w:r>
          </w:p>
        </w:tc>
        <w:tc>
          <w:tcPr>
            <w:tcW w:w="1588" w:type="dxa"/>
            <w:tcBorders>
              <w:top w:val="single" w:sz="6" w:space="0" w:color="auto"/>
              <w:left w:val="single" w:sz="6" w:space="0" w:color="auto"/>
              <w:bottom w:val="single" w:sz="6" w:space="0" w:color="auto"/>
              <w:right w:val="single" w:sz="6" w:space="0" w:color="auto"/>
            </w:tcBorders>
          </w:tcPr>
          <w:p w14:paraId="52D050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r>
      <w:tr w:rsidR="00000000" w14:paraId="32F6AFF1" w14:textId="77777777">
        <w:tblPrEx>
          <w:tblCellMar>
            <w:top w:w="0" w:type="dxa"/>
            <w:bottom w:w="0" w:type="dxa"/>
          </w:tblCellMar>
        </w:tblPrEx>
        <w:tc>
          <w:tcPr>
            <w:tcW w:w="1846" w:type="dxa"/>
            <w:tcBorders>
              <w:top w:val="single" w:sz="6" w:space="0" w:color="auto"/>
              <w:left w:val="single" w:sz="6" w:space="0" w:color="auto"/>
              <w:bottom w:val="single" w:sz="6" w:space="0" w:color="auto"/>
              <w:right w:val="single" w:sz="6" w:space="0" w:color="auto"/>
            </w:tcBorders>
          </w:tcPr>
          <w:p w14:paraId="7A8944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PbSO4</w:t>
            </w:r>
          </w:p>
        </w:tc>
        <w:tc>
          <w:tcPr>
            <w:tcW w:w="2066" w:type="dxa"/>
            <w:tcBorders>
              <w:top w:val="single" w:sz="6" w:space="0" w:color="auto"/>
              <w:left w:val="single" w:sz="6" w:space="0" w:color="auto"/>
              <w:bottom w:val="single" w:sz="6" w:space="0" w:color="auto"/>
              <w:right w:val="single" w:sz="6" w:space="0" w:color="auto"/>
            </w:tcBorders>
          </w:tcPr>
          <w:p w14:paraId="7F1207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w:t>
            </w:r>
          </w:p>
        </w:tc>
        <w:tc>
          <w:tcPr>
            <w:tcW w:w="1846" w:type="dxa"/>
            <w:tcBorders>
              <w:top w:val="single" w:sz="6" w:space="0" w:color="auto"/>
              <w:left w:val="single" w:sz="6" w:space="0" w:color="auto"/>
              <w:bottom w:val="single" w:sz="6" w:space="0" w:color="auto"/>
              <w:right w:val="single" w:sz="6" w:space="0" w:color="auto"/>
            </w:tcBorders>
          </w:tcPr>
          <w:p w14:paraId="71C5CC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1,8*10</w:t>
            </w:r>
          </w:p>
        </w:tc>
        <w:tc>
          <w:tcPr>
            <w:tcW w:w="1846" w:type="dxa"/>
            <w:tcBorders>
              <w:top w:val="single" w:sz="6" w:space="0" w:color="auto"/>
              <w:left w:val="single" w:sz="6" w:space="0" w:color="auto"/>
              <w:bottom w:val="single" w:sz="6" w:space="0" w:color="auto"/>
              <w:right w:val="single" w:sz="6" w:space="0" w:color="auto"/>
            </w:tcBorders>
          </w:tcPr>
          <w:p w14:paraId="4C3DBC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7,8</w:t>
            </w:r>
          </w:p>
        </w:tc>
        <w:tc>
          <w:tcPr>
            <w:tcW w:w="1588" w:type="dxa"/>
            <w:tcBorders>
              <w:top w:val="single" w:sz="6" w:space="0" w:color="auto"/>
              <w:left w:val="single" w:sz="6" w:space="0" w:color="auto"/>
              <w:bottom w:val="single" w:sz="6" w:space="0" w:color="auto"/>
              <w:right w:val="single" w:sz="6" w:space="0" w:color="auto"/>
            </w:tcBorders>
          </w:tcPr>
          <w:p w14:paraId="776684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r>
      <w:tr w:rsidR="00000000" w14:paraId="4FA6D8BC" w14:textId="77777777">
        <w:tblPrEx>
          <w:tblCellMar>
            <w:top w:w="0" w:type="dxa"/>
            <w:bottom w:w="0" w:type="dxa"/>
          </w:tblCellMar>
        </w:tblPrEx>
        <w:tc>
          <w:tcPr>
            <w:tcW w:w="1846" w:type="dxa"/>
            <w:tcBorders>
              <w:top w:val="single" w:sz="6" w:space="0" w:color="auto"/>
              <w:left w:val="single" w:sz="6" w:space="0" w:color="auto"/>
              <w:bottom w:val="single" w:sz="6" w:space="0" w:color="auto"/>
              <w:right w:val="single" w:sz="6" w:space="0" w:color="auto"/>
            </w:tcBorders>
          </w:tcPr>
          <w:p w14:paraId="3CC891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Pb5(PO4)3Cl</w:t>
            </w:r>
          </w:p>
        </w:tc>
        <w:tc>
          <w:tcPr>
            <w:tcW w:w="2066" w:type="dxa"/>
            <w:tcBorders>
              <w:top w:val="single" w:sz="6" w:space="0" w:color="auto"/>
              <w:left w:val="single" w:sz="6" w:space="0" w:color="auto"/>
              <w:bottom w:val="single" w:sz="6" w:space="0" w:color="auto"/>
              <w:right w:val="single" w:sz="6" w:space="0" w:color="auto"/>
            </w:tcBorders>
          </w:tcPr>
          <w:p w14:paraId="757A64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1*10</w:t>
            </w:r>
          </w:p>
        </w:tc>
        <w:tc>
          <w:tcPr>
            <w:tcW w:w="1846" w:type="dxa"/>
            <w:tcBorders>
              <w:top w:val="single" w:sz="6" w:space="0" w:color="auto"/>
              <w:left w:val="single" w:sz="6" w:space="0" w:color="auto"/>
              <w:bottom w:val="single" w:sz="6" w:space="0" w:color="auto"/>
              <w:right w:val="single" w:sz="6" w:space="0" w:color="auto"/>
            </w:tcBorders>
          </w:tcPr>
          <w:p w14:paraId="735F17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5*10</w:t>
            </w:r>
          </w:p>
        </w:tc>
        <w:tc>
          <w:tcPr>
            <w:tcW w:w="1846" w:type="dxa"/>
            <w:tcBorders>
              <w:top w:val="single" w:sz="6" w:space="0" w:color="auto"/>
              <w:left w:val="single" w:sz="6" w:space="0" w:color="auto"/>
              <w:bottom w:val="single" w:sz="6" w:space="0" w:color="auto"/>
              <w:right w:val="single" w:sz="6" w:space="0" w:color="auto"/>
            </w:tcBorders>
          </w:tcPr>
          <w:p w14:paraId="220EE2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83,7</w:t>
            </w:r>
          </w:p>
        </w:tc>
        <w:tc>
          <w:tcPr>
            <w:tcW w:w="1588" w:type="dxa"/>
            <w:tcBorders>
              <w:top w:val="single" w:sz="6" w:space="0" w:color="auto"/>
              <w:left w:val="single" w:sz="6" w:space="0" w:color="auto"/>
              <w:bottom w:val="single" w:sz="6" w:space="0" w:color="auto"/>
              <w:right w:val="single" w:sz="6" w:space="0" w:color="auto"/>
            </w:tcBorders>
          </w:tcPr>
          <w:p w14:paraId="300BCC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w:t>
            </w:r>
          </w:p>
        </w:tc>
      </w:tr>
    </w:tbl>
    <w:p w14:paraId="4ED594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A7B0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Альтернативным механизмом поглощения свинца является обменное или необменное поглощение свинца (II) оксидами - гидроксидами Fe и Mn, глинистыми минералами и органическим веществом почв. В условиях лабораторного эксперимента исследователи установили, что оксидами - гидроксидами железа в интервале рН от 3,5 до 5,5 практически полностью поглощают ионы свинца из раствора.</w:t>
      </w:r>
    </w:p>
    <w:p w14:paraId="261BDC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Оксиды Mn так же связывают растворённый свинец, рН влияет на этот процесс в существенно меньшей степени. Практически не оказывает на него влияния и изменения поверхности твёрдой фазы. От 20 до 93% свинца, поглощённого свежеосаждёнными оксидами марганца, не удавалось экстрагировать 25% уксусной кислотой, а после «состаривания» в течение 28 недель для доля этой неэкстрагируемой фракции возросла до 37 - 100% поглощения свинца (II). Для свежеосаждённого и «состаренного» гетита доля экстрагируемого такой кислотой свинца составляла, соответственно, 10 - 44 и 19 - 62%. Можно сделать вывод о том, что при взаимодействии свинца даже с простыми сорбентами часть его оказывается более прочно связанной, а часть менее, то есть, проявляется неоднородность «сорбционных центров».</w:t>
      </w:r>
    </w:p>
    <w:p w14:paraId="15F9C6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Чтобы заряд поверхности частиц оставался неизменным, поглощение свинца почвами и их составляющими должно сопровождаться вытеснением в раствор каких то других ионов. Связывание 1 моль свинца (II) гидроксидами Mn при рН 4, по данным, приводит к вытеснению H+ в количестве 1 моль для бирнессита и 1,3 моль для криптомелона. Для гидроксидов железа (гематита и петита) это отношение составило соответственно 1,3 и 2 моль. Авторами работы, выдвинуто предположение о том, что поглощение свинца из кислых растворов происходит в соответствии с уравнением:</w:t>
      </w:r>
    </w:p>
    <w:p w14:paraId="2A3C43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F135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SOH0 + Pb2+ = [SO - Pb2+] + H+</w:t>
      </w:r>
      <w:r>
        <w:rPr>
          <w:rFonts w:ascii="Times New Roman CYR" w:hAnsi="Times New Roman CYR" w:cs="Times New Roman CYR"/>
          <w:kern w:val="0"/>
          <w:sz w:val="28"/>
          <w:szCs w:val="28"/>
          <w:lang w:val="en-US"/>
        </w:rPr>
        <w:tab/>
      </w:r>
      <w:r>
        <w:rPr>
          <w:rFonts w:ascii="Times New Roman CYR" w:hAnsi="Times New Roman CYR" w:cs="Times New Roman CYR"/>
          <w:kern w:val="0"/>
          <w:sz w:val="28"/>
          <w:szCs w:val="28"/>
          <w:lang w:val="en-US"/>
        </w:rPr>
        <w:tab/>
      </w:r>
      <w:r>
        <w:rPr>
          <w:rFonts w:ascii="Times New Roman CYR" w:hAnsi="Times New Roman CYR" w:cs="Times New Roman CYR"/>
          <w:kern w:val="0"/>
          <w:sz w:val="28"/>
          <w:szCs w:val="28"/>
          <w:lang w:val="en-US"/>
        </w:rPr>
        <w:tab/>
      </w:r>
      <w:r>
        <w:rPr>
          <w:rFonts w:ascii="Times New Roman CYR" w:hAnsi="Times New Roman CYR" w:cs="Times New Roman CYR"/>
          <w:kern w:val="0"/>
          <w:sz w:val="28"/>
          <w:szCs w:val="28"/>
          <w:lang w:val="en-US"/>
        </w:rPr>
        <w:tab/>
      </w:r>
      <w:r>
        <w:rPr>
          <w:rFonts w:ascii="Times New Roman CYR" w:hAnsi="Times New Roman CYR" w:cs="Times New Roman CYR"/>
          <w:kern w:val="0"/>
          <w:sz w:val="28"/>
          <w:szCs w:val="28"/>
          <w:lang w:val="en-US"/>
        </w:rPr>
        <w:tab/>
      </w:r>
      <w:r>
        <w:rPr>
          <w:rFonts w:ascii="Times New Roman CYR" w:hAnsi="Times New Roman CYR" w:cs="Times New Roman CYR"/>
          <w:kern w:val="0"/>
          <w:sz w:val="28"/>
          <w:szCs w:val="28"/>
          <w:lang w:val="en-US"/>
        </w:rPr>
        <w:tab/>
        <w:t>(1)</w:t>
      </w:r>
    </w:p>
    <w:p w14:paraId="14A247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A11B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SOH0 - незаряженный участок поверхности, а формула в квадратных скобках отражает поглощенную форму катиона свинца.</w:t>
      </w:r>
    </w:p>
    <w:p w14:paraId="2FB797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ростом рН можно ожидать поглощение моногидроксокомплекса:</w:t>
      </w:r>
    </w:p>
    <w:p w14:paraId="313BE0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Pb2+ + Н2О = [SO- - Pb(OH)2] + 2Н+ </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(2)</w:t>
      </w:r>
    </w:p>
    <w:p w14:paraId="6125D6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B363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дальнейшим поверхностно - индуцированным межфазным осаждением гидроксида металла в соответствии с выражением:</w:t>
      </w:r>
    </w:p>
    <w:p w14:paraId="13EE5D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Pb2+ + 2 Н2О = [S - Pb(OH)2] + 2Н+ </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(3)</w:t>
      </w:r>
    </w:p>
    <w:p w14:paraId="3A72A0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81E7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оксидов железа резкое увеличение поглощения в узком диапазоне рН автор приписывает достижению уровня рН, при котором становится возможным поглощение PbOH+. Соединения в составе которых есть свинец на поверхности оксидов, гидроксидов, относят к поверхностным внутрисферным комплексам. Почвы с большим содержанием гумуса не проявляли большей селективности по отношению к Pb2+. Наиболее селективными сорбентами оказались оксиды железа.</w:t>
      </w:r>
    </w:p>
    <w:p w14:paraId="44AAE6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«Сверх - эквивалентное» поглощение обнаружено, согласно при связывании почвами других катионов, например катионов меди. В соответствии с данными исследований, поглощение катионов почвами принято подразделять на «неспецифическое» и «специфическое». Под «неспецифическим» обычно понимают связывание катионов за счёт действия электростатических сил в двойном электрическом слое, а «специфическое» относят за счёт формирования координационных связей с поверхностью через атомы кислорода или группы - ОН. «Сверх - эквивалентное» поглощение происходит именно за счёт механизма, неселективного поглощения по отношению к ионам Pb2+.</w:t>
      </w:r>
    </w:p>
    <w:p w14:paraId="6B4D5B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 особенностях механизма связывания свинца почвами, подтверждающих гипотезу, можно судить по тому, что его величина не </w:t>
      </w:r>
      <w:r>
        <w:rPr>
          <w:rFonts w:ascii="Times New Roman CYR" w:hAnsi="Times New Roman CYR" w:cs="Times New Roman CYR"/>
          <w:kern w:val="0"/>
          <w:sz w:val="28"/>
          <w:szCs w:val="28"/>
        </w:rPr>
        <w:lastRenderedPageBreak/>
        <w:t>пропорциональна ёмкости катионного обмена [3].</w:t>
      </w:r>
    </w:p>
    <w:p w14:paraId="11B4D5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Предложены и другие гипотезы механизма поглощения свинца в почвах. В частности, другим типом взаимодействия может быть образование комплексов свинца с органическим веществом, сорбированными на поверхности глинистых частиц. Высказывается мнение о том, что роль глинистой фракции в поглощении свинца незначительна по сравнению с ролью органического вещества.</w:t>
      </w:r>
    </w:p>
    <w:p w14:paraId="616C3D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Роль органического вещества неоднозначна и с другой точки зрения: выделенные из почв гуминовые кислоты прочно связывали часть свинца, но 65% удержанного ими свинца оказывались в обменной фракции. Выделяемая 1н. HNO3 фракция свинца, по мнению авторов, входит в состав комплексных соединений с гуминовыми кислотами. Катионы Pb2+ могут быть связаны с гуминовыми кислотами либо через карбоксильные, либо через гидроксильные группы. Недиссоциированные слабокислые ОН- группы сахаров и фенолов также, возможно, участвуют в образовании таких комплексов.</w:t>
      </w:r>
    </w:p>
    <w:p w14:paraId="10717A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Итак, на основе приведённых данных подтверждённые и гипотетические механизмы поглощения свинца можно представить в виде схемы, показанной в таблице 2.</w:t>
      </w:r>
    </w:p>
    <w:p w14:paraId="6C68AE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на современном этапе исследования механизмов поглощения металла можно утверждать, что, во-первых, существуют некоторые условные фракции свинца в почвах, которые нельзя отнести к тем или иным химическим соединениям. Во-вторых, в зависимости от свойств почв металл можно сделать практически полностью недоступным для растений и иммобильным.</w:t>
      </w:r>
    </w:p>
    <w:p w14:paraId="06F72C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6BC7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2 - Механизмы поглощения свинца (II) в почвах [5]</w:t>
      </w: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76"/>
        <w:gridCol w:w="2262"/>
        <w:gridCol w:w="895"/>
        <w:gridCol w:w="16"/>
        <w:gridCol w:w="3490"/>
      </w:tblGrid>
      <w:tr w:rsidR="00000000" w14:paraId="4099EBAD"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68DD4C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Тип поглощения</w:t>
            </w:r>
          </w:p>
        </w:tc>
        <w:tc>
          <w:tcPr>
            <w:tcW w:w="3173" w:type="dxa"/>
            <w:gridSpan w:val="3"/>
            <w:tcBorders>
              <w:top w:val="single" w:sz="6" w:space="0" w:color="auto"/>
              <w:left w:val="single" w:sz="6" w:space="0" w:color="auto"/>
              <w:bottom w:val="single" w:sz="6" w:space="0" w:color="auto"/>
              <w:right w:val="single" w:sz="6" w:space="0" w:color="auto"/>
            </w:tcBorders>
          </w:tcPr>
          <w:p w14:paraId="0CD577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 чем происходит связывание</w:t>
            </w:r>
          </w:p>
        </w:tc>
        <w:tc>
          <w:tcPr>
            <w:tcW w:w="3490" w:type="dxa"/>
            <w:tcBorders>
              <w:top w:val="single" w:sz="6" w:space="0" w:color="auto"/>
              <w:left w:val="single" w:sz="6" w:space="0" w:color="auto"/>
              <w:bottom w:val="single" w:sz="6" w:space="0" w:color="auto"/>
              <w:right w:val="single" w:sz="6" w:space="0" w:color="auto"/>
            </w:tcBorders>
          </w:tcPr>
          <w:p w14:paraId="745374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Характер взаимодействия</w:t>
            </w:r>
          </w:p>
        </w:tc>
      </w:tr>
      <w:tr w:rsidR="00000000" w14:paraId="17B98592"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6BF32A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Обменное осаждение</w:t>
            </w:r>
          </w:p>
        </w:tc>
        <w:tc>
          <w:tcPr>
            <w:tcW w:w="3173" w:type="dxa"/>
            <w:gridSpan w:val="3"/>
            <w:tcBorders>
              <w:top w:val="single" w:sz="6" w:space="0" w:color="auto"/>
              <w:left w:val="single" w:sz="6" w:space="0" w:color="auto"/>
              <w:bottom w:val="single" w:sz="6" w:space="0" w:color="auto"/>
              <w:right w:val="single" w:sz="6" w:space="0" w:color="auto"/>
            </w:tcBorders>
          </w:tcPr>
          <w:p w14:paraId="6ABD19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Оксиды-гидроксиды Fe и Мn</w:t>
            </w:r>
          </w:p>
        </w:tc>
        <w:tc>
          <w:tcPr>
            <w:tcW w:w="3490" w:type="dxa"/>
            <w:tcBorders>
              <w:top w:val="single" w:sz="6" w:space="0" w:color="auto"/>
              <w:left w:val="single" w:sz="6" w:space="0" w:color="auto"/>
              <w:bottom w:val="single" w:sz="6" w:space="0" w:color="auto"/>
              <w:right w:val="single" w:sz="6" w:space="0" w:color="auto"/>
            </w:tcBorders>
          </w:tcPr>
          <w:p w14:paraId="739434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-образование поверхностных комплексов по уравнениям (1) и (2)</w:t>
            </w:r>
          </w:p>
        </w:tc>
      </w:tr>
      <w:tr w:rsidR="00000000" w14:paraId="4D12A9E8"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4345EC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173" w:type="dxa"/>
            <w:gridSpan w:val="3"/>
            <w:tcBorders>
              <w:top w:val="single" w:sz="6" w:space="0" w:color="auto"/>
              <w:left w:val="single" w:sz="6" w:space="0" w:color="auto"/>
              <w:bottom w:val="single" w:sz="6" w:space="0" w:color="auto"/>
              <w:right w:val="single" w:sz="6" w:space="0" w:color="auto"/>
            </w:tcBorders>
          </w:tcPr>
          <w:p w14:paraId="6C8B3E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Силикатные материалы</w:t>
            </w:r>
          </w:p>
        </w:tc>
        <w:tc>
          <w:tcPr>
            <w:tcW w:w="3490" w:type="dxa"/>
            <w:tcBorders>
              <w:top w:val="single" w:sz="6" w:space="0" w:color="auto"/>
              <w:left w:val="single" w:sz="6" w:space="0" w:color="auto"/>
              <w:bottom w:val="single" w:sz="6" w:space="0" w:color="auto"/>
              <w:right w:val="single" w:sz="6" w:space="0" w:color="auto"/>
            </w:tcBorders>
          </w:tcPr>
          <w:p w14:paraId="34F243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-электростатическое или полярное с </w:t>
            </w:r>
            <w:r>
              <w:rPr>
                <w:rFonts w:ascii="Times New Roman CYR" w:hAnsi="Times New Roman CYR" w:cs="Times New Roman CYR"/>
                <w:kern w:val="0"/>
                <w:sz w:val="20"/>
                <w:szCs w:val="20"/>
              </w:rPr>
              <w:lastRenderedPageBreak/>
              <w:t>участием SiО -группы проникновение в межплоскостные промежутки алюмосиликатов</w:t>
            </w:r>
          </w:p>
        </w:tc>
      </w:tr>
      <w:tr w:rsidR="00000000" w14:paraId="075A147E"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600D11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262" w:type="dxa"/>
            <w:tcBorders>
              <w:top w:val="single" w:sz="6" w:space="0" w:color="auto"/>
              <w:left w:val="single" w:sz="6" w:space="0" w:color="auto"/>
              <w:bottom w:val="single" w:sz="6" w:space="0" w:color="auto"/>
              <w:right w:val="single" w:sz="6" w:space="0" w:color="auto"/>
            </w:tcBorders>
          </w:tcPr>
          <w:p w14:paraId="705CD5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Органическое вещество</w:t>
            </w:r>
          </w:p>
        </w:tc>
        <w:tc>
          <w:tcPr>
            <w:tcW w:w="895" w:type="dxa"/>
            <w:tcBorders>
              <w:top w:val="single" w:sz="6" w:space="0" w:color="auto"/>
              <w:left w:val="single" w:sz="6" w:space="0" w:color="auto"/>
              <w:bottom w:val="single" w:sz="6" w:space="0" w:color="auto"/>
              <w:right w:val="single" w:sz="6" w:space="0" w:color="auto"/>
            </w:tcBorders>
          </w:tcPr>
          <w:p w14:paraId="347710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506" w:type="dxa"/>
            <w:gridSpan w:val="2"/>
            <w:tcBorders>
              <w:top w:val="single" w:sz="6" w:space="0" w:color="auto"/>
              <w:left w:val="single" w:sz="6" w:space="0" w:color="auto"/>
              <w:bottom w:val="single" w:sz="6" w:space="0" w:color="auto"/>
              <w:right w:val="single" w:sz="6" w:space="0" w:color="auto"/>
            </w:tcBorders>
          </w:tcPr>
          <w:p w14:paraId="56C2B9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-связывание на цеолита Органическое веществ -полярное, через карбоксильные группы полярное, через фенольные группы</w:t>
            </w:r>
          </w:p>
        </w:tc>
      </w:tr>
      <w:tr w:rsidR="00000000" w14:paraId="1E57B8FA"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25D0D5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Необменное осаждение</w:t>
            </w:r>
          </w:p>
        </w:tc>
        <w:tc>
          <w:tcPr>
            <w:tcW w:w="2262" w:type="dxa"/>
            <w:tcBorders>
              <w:top w:val="single" w:sz="6" w:space="0" w:color="auto"/>
              <w:left w:val="single" w:sz="6" w:space="0" w:color="auto"/>
              <w:bottom w:val="single" w:sz="6" w:space="0" w:color="auto"/>
              <w:right w:val="single" w:sz="6" w:space="0" w:color="auto"/>
            </w:tcBorders>
          </w:tcPr>
          <w:p w14:paraId="57A703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Осаждение Оксиды-гидроксиды Fe и Mn, силикатные минералы и органическое вещество</w:t>
            </w:r>
          </w:p>
        </w:tc>
        <w:tc>
          <w:tcPr>
            <w:tcW w:w="895" w:type="dxa"/>
            <w:tcBorders>
              <w:top w:val="single" w:sz="6" w:space="0" w:color="auto"/>
              <w:left w:val="single" w:sz="6" w:space="0" w:color="auto"/>
              <w:bottom w:val="single" w:sz="6" w:space="0" w:color="auto"/>
              <w:right w:val="single" w:sz="6" w:space="0" w:color="auto"/>
            </w:tcBorders>
          </w:tcPr>
          <w:p w14:paraId="3D4C59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3506" w:type="dxa"/>
            <w:gridSpan w:val="2"/>
            <w:tcBorders>
              <w:top w:val="single" w:sz="6" w:space="0" w:color="auto"/>
              <w:left w:val="single" w:sz="6" w:space="0" w:color="auto"/>
              <w:bottom w:val="single" w:sz="6" w:space="0" w:color="auto"/>
              <w:right w:val="single" w:sz="6" w:space="0" w:color="auto"/>
            </w:tcBorders>
          </w:tcPr>
          <w:p w14:paraId="350510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выпадение в осадок PbCO3 или пироморфита -связывание ионов или заряженных комплексов на поверхности с изменением заряда поверхности</w:t>
            </w:r>
          </w:p>
        </w:tc>
      </w:tr>
    </w:tbl>
    <w:p w14:paraId="26600F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41B8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Распространение соединений свинца в системе почва - растения</w:t>
      </w:r>
    </w:p>
    <w:p w14:paraId="4A4BAD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401A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be-BY"/>
        </w:rPr>
        <w:t>Почв</w:t>
      </w: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be-BY"/>
        </w:rPr>
        <w:t xml:space="preserve">. Данные о распространенности свинца в земной коре свидетельствуют о накоплении его в кислых сериях магматических пород и в глинистых осадках, в которых обычные концентрации </w:t>
      </w:r>
      <w:r>
        <w:rPr>
          <w:rFonts w:ascii="Times New Roman CYR" w:hAnsi="Times New Roman CYR" w:cs="Times New Roman CYR"/>
          <w:kern w:val="0"/>
          <w:sz w:val="28"/>
          <w:szCs w:val="28"/>
        </w:rPr>
        <w:t>свинца</w:t>
      </w:r>
      <w:r>
        <w:rPr>
          <w:rFonts w:ascii="Times New Roman CYR" w:hAnsi="Times New Roman CYR" w:cs="Times New Roman CYR"/>
          <w:kern w:val="0"/>
          <w:sz w:val="28"/>
          <w:szCs w:val="28"/>
          <w:lang w:val="be-BY"/>
        </w:rPr>
        <w:t xml:space="preserve"> колеблются в пределах 10 - 40 мг/кг. В то же время в ультраосновных породах и известковистых осадках его содержится 0,1 - 10 мг/кг</w:t>
      </w:r>
      <w:r>
        <w:rPr>
          <w:rFonts w:ascii="Times New Roman CYR" w:hAnsi="Times New Roman CYR" w:cs="Times New Roman CYR"/>
          <w:kern w:val="0"/>
          <w:sz w:val="28"/>
          <w:szCs w:val="28"/>
        </w:rPr>
        <w:t xml:space="preserve"> [3].</w:t>
      </w:r>
    </w:p>
    <w:p w14:paraId="3A57AB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be-BY"/>
        </w:rPr>
      </w:pPr>
      <w:r>
        <w:rPr>
          <w:rFonts w:ascii="Times New Roman CYR" w:hAnsi="Times New Roman CYR" w:cs="Times New Roman CYR"/>
          <w:kern w:val="0"/>
          <w:sz w:val="28"/>
          <w:szCs w:val="28"/>
          <w:lang w:val="be-BY"/>
        </w:rPr>
        <w:t>Свинец обладает сильными халькофильными свойствами, поэтому в естественных условиях его главная форма -</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be-BY"/>
        </w:rPr>
        <w:t xml:space="preserve">галенит PbS. </w:t>
      </w:r>
      <w:r>
        <w:rPr>
          <w:rFonts w:ascii="Times New Roman CYR" w:hAnsi="Times New Roman CYR" w:cs="Times New Roman CYR"/>
          <w:kern w:val="0"/>
          <w:sz w:val="28"/>
          <w:szCs w:val="28"/>
        </w:rPr>
        <w:t>Свинец</w:t>
      </w:r>
      <w:r>
        <w:rPr>
          <w:rFonts w:ascii="Times New Roman CYR" w:hAnsi="Times New Roman CYR" w:cs="Times New Roman CYR"/>
          <w:kern w:val="0"/>
          <w:sz w:val="28"/>
          <w:szCs w:val="28"/>
          <w:lang w:val="be-BY"/>
        </w:rPr>
        <w:t xml:space="preserve"> присутствует в основном в виде Рb</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be-BY"/>
        </w:rPr>
        <w:t>, известно также его состояние окисления +4. Свинец образует ряд других минералов, которые относительно плохо растворимы в природных водах.</w:t>
      </w:r>
    </w:p>
    <w:p w14:paraId="504A27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be-BY"/>
        </w:rPr>
      </w:pPr>
      <w:r>
        <w:rPr>
          <w:rFonts w:ascii="Times New Roman CYR" w:hAnsi="Times New Roman CYR" w:cs="Times New Roman CYR"/>
          <w:kern w:val="0"/>
          <w:sz w:val="28"/>
          <w:szCs w:val="28"/>
          <w:lang w:val="be-BY"/>
        </w:rPr>
        <w:t xml:space="preserve">При выветривании сульфиды </w:t>
      </w:r>
      <w:r>
        <w:rPr>
          <w:rFonts w:ascii="Times New Roman CYR" w:hAnsi="Times New Roman CYR" w:cs="Times New Roman CYR"/>
          <w:kern w:val="0"/>
          <w:sz w:val="28"/>
          <w:szCs w:val="28"/>
        </w:rPr>
        <w:t>свинца</w:t>
      </w:r>
      <w:r>
        <w:rPr>
          <w:rFonts w:ascii="Times New Roman CYR" w:hAnsi="Times New Roman CYR" w:cs="Times New Roman CYR"/>
          <w:kern w:val="0"/>
          <w:sz w:val="28"/>
          <w:szCs w:val="28"/>
          <w:lang w:val="be-BY"/>
        </w:rPr>
        <w:t xml:space="preserve"> медленно окисляются, и свинец может образовывать карбонаты, входить в глинистые минералы, оксиды </w:t>
      </w:r>
      <w:r>
        <w:rPr>
          <w:rFonts w:ascii="Times New Roman CYR" w:hAnsi="Times New Roman CYR" w:cs="Times New Roman CYR"/>
          <w:kern w:val="0"/>
          <w:sz w:val="28"/>
          <w:szCs w:val="28"/>
        </w:rPr>
        <w:t>железа</w:t>
      </w:r>
      <w:r>
        <w:rPr>
          <w:rFonts w:ascii="Times New Roman CYR" w:hAnsi="Times New Roman CYR" w:cs="Times New Roman CYR"/>
          <w:kern w:val="0"/>
          <w:sz w:val="28"/>
          <w:szCs w:val="28"/>
          <w:lang w:val="be-BY"/>
        </w:rPr>
        <w:t xml:space="preserve"> и </w:t>
      </w:r>
      <w:r>
        <w:rPr>
          <w:rFonts w:ascii="Times New Roman CYR" w:hAnsi="Times New Roman CYR" w:cs="Times New Roman CYR"/>
          <w:kern w:val="0"/>
          <w:sz w:val="28"/>
          <w:szCs w:val="28"/>
        </w:rPr>
        <w:t>марганца</w:t>
      </w:r>
      <w:r>
        <w:rPr>
          <w:rFonts w:ascii="Times New Roman CYR" w:hAnsi="Times New Roman CYR" w:cs="Times New Roman CYR"/>
          <w:kern w:val="0"/>
          <w:sz w:val="28"/>
          <w:szCs w:val="28"/>
          <w:lang w:val="be-BY"/>
        </w:rPr>
        <w:t>, а также связываться органическим веществом. По геохимическим свойствам Рb</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be-BY"/>
        </w:rPr>
        <w:t xml:space="preserve"> близок к группе двухвалентных щелочноземельных элементов, поэтому </w:t>
      </w:r>
      <w:r>
        <w:rPr>
          <w:rFonts w:ascii="Times New Roman CYR" w:hAnsi="Times New Roman CYR" w:cs="Times New Roman CYR"/>
          <w:kern w:val="0"/>
          <w:sz w:val="28"/>
          <w:szCs w:val="28"/>
        </w:rPr>
        <w:t xml:space="preserve">свинец </w:t>
      </w:r>
      <w:r>
        <w:rPr>
          <w:rFonts w:ascii="Times New Roman CYR" w:hAnsi="Times New Roman CYR" w:cs="Times New Roman CYR"/>
          <w:kern w:val="0"/>
          <w:sz w:val="28"/>
          <w:szCs w:val="28"/>
          <w:lang w:val="be-BY"/>
        </w:rPr>
        <w:t xml:space="preserve">способен замещать </w:t>
      </w:r>
      <w:r>
        <w:rPr>
          <w:rFonts w:ascii="Times New Roman CYR" w:hAnsi="Times New Roman CYR" w:cs="Times New Roman CYR"/>
          <w:kern w:val="0"/>
          <w:sz w:val="28"/>
          <w:szCs w:val="28"/>
        </w:rPr>
        <w:t>калий</w:t>
      </w:r>
      <w:r>
        <w:rPr>
          <w:rFonts w:ascii="Times New Roman CYR" w:hAnsi="Times New Roman CYR" w:cs="Times New Roman CYR"/>
          <w:kern w:val="0"/>
          <w:sz w:val="28"/>
          <w:szCs w:val="28"/>
          <w:lang w:val="be-BY"/>
        </w:rPr>
        <w:t>,</w:t>
      </w:r>
      <w:r>
        <w:rPr>
          <w:rFonts w:ascii="Times New Roman CYR" w:hAnsi="Times New Roman CYR" w:cs="Times New Roman CYR"/>
          <w:kern w:val="0"/>
          <w:sz w:val="28"/>
          <w:szCs w:val="28"/>
        </w:rPr>
        <w:t xml:space="preserve"> барий</w:t>
      </w:r>
      <w:r>
        <w:rPr>
          <w:rFonts w:ascii="Times New Roman CYR" w:hAnsi="Times New Roman CYR" w:cs="Times New Roman CYR"/>
          <w:kern w:val="0"/>
          <w:sz w:val="28"/>
          <w:szCs w:val="28"/>
          <w:lang w:val="be-BY"/>
        </w:rPr>
        <w:t xml:space="preserve">, </w:t>
      </w:r>
      <w:r>
        <w:rPr>
          <w:rFonts w:ascii="Times New Roman CYR" w:hAnsi="Times New Roman CYR" w:cs="Times New Roman CYR"/>
          <w:kern w:val="0"/>
          <w:sz w:val="28"/>
          <w:szCs w:val="28"/>
        </w:rPr>
        <w:t>стронций</w:t>
      </w:r>
      <w:r>
        <w:rPr>
          <w:rFonts w:ascii="Times New Roman CYR" w:hAnsi="Times New Roman CYR" w:cs="Times New Roman CYR"/>
          <w:kern w:val="0"/>
          <w:sz w:val="28"/>
          <w:szCs w:val="28"/>
          <w:lang w:val="be-BY"/>
        </w:rPr>
        <w:t xml:space="preserve"> и даже </w:t>
      </w:r>
      <w:r>
        <w:rPr>
          <w:rFonts w:ascii="Times New Roman CYR" w:hAnsi="Times New Roman CYR" w:cs="Times New Roman CYR"/>
          <w:kern w:val="0"/>
          <w:sz w:val="28"/>
          <w:szCs w:val="28"/>
        </w:rPr>
        <w:t>кальций</w:t>
      </w:r>
      <w:r>
        <w:rPr>
          <w:rFonts w:ascii="Times New Roman CYR" w:hAnsi="Times New Roman CYR" w:cs="Times New Roman CYR"/>
          <w:kern w:val="0"/>
          <w:sz w:val="28"/>
          <w:szCs w:val="28"/>
          <w:lang w:val="be-BY"/>
        </w:rPr>
        <w:t xml:space="preserve"> как в минералах, так и в сорбционных позициях.</w:t>
      </w:r>
    </w:p>
    <w:p w14:paraId="47E5DD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be-BY"/>
        </w:rPr>
        <w:t xml:space="preserve">Естественные содержания </w:t>
      </w:r>
      <w:r>
        <w:rPr>
          <w:rFonts w:ascii="Times New Roman CYR" w:hAnsi="Times New Roman CYR" w:cs="Times New Roman CYR"/>
          <w:kern w:val="0"/>
          <w:sz w:val="28"/>
          <w:szCs w:val="28"/>
        </w:rPr>
        <w:t>свинца</w:t>
      </w:r>
      <w:r>
        <w:rPr>
          <w:rFonts w:ascii="Times New Roman CYR" w:hAnsi="Times New Roman CYR" w:cs="Times New Roman CYR"/>
          <w:kern w:val="0"/>
          <w:sz w:val="28"/>
          <w:szCs w:val="28"/>
          <w:lang w:val="be-BY"/>
        </w:rPr>
        <w:t xml:space="preserve"> в почвах наследуются от материнских пород. Однако из-за широкомасштабного загрязнения среды свинцом большинство почв, по-видимому, обогащено этим элементом, особенно их </w:t>
      </w:r>
      <w:r>
        <w:rPr>
          <w:rFonts w:ascii="Times New Roman CYR" w:hAnsi="Times New Roman CYR" w:cs="Times New Roman CYR"/>
          <w:kern w:val="0"/>
          <w:sz w:val="28"/>
          <w:szCs w:val="28"/>
          <w:lang w:val="be-BY"/>
        </w:rPr>
        <w:lastRenderedPageBreak/>
        <w:t xml:space="preserve">верхние горизонты. В литературе имеется большое число данных о содержании </w:t>
      </w:r>
      <w:r>
        <w:rPr>
          <w:rFonts w:ascii="Times New Roman CYR" w:hAnsi="Times New Roman CYR" w:cs="Times New Roman CYR"/>
          <w:kern w:val="0"/>
          <w:sz w:val="28"/>
          <w:szCs w:val="28"/>
        </w:rPr>
        <w:t>свинца</w:t>
      </w:r>
      <w:r>
        <w:rPr>
          <w:rFonts w:ascii="Times New Roman CYR" w:hAnsi="Times New Roman CYR" w:cs="Times New Roman CYR"/>
          <w:kern w:val="0"/>
          <w:sz w:val="28"/>
          <w:szCs w:val="28"/>
          <w:lang w:val="be-BY"/>
        </w:rPr>
        <w:t xml:space="preserve"> в почве, однако иногда трудно отделить данные, характеризующие фоновые уровни </w:t>
      </w:r>
      <w:r>
        <w:rPr>
          <w:rFonts w:ascii="Times New Roman CYR" w:hAnsi="Times New Roman CYR" w:cs="Times New Roman CYR"/>
          <w:kern w:val="0"/>
          <w:sz w:val="28"/>
          <w:szCs w:val="28"/>
        </w:rPr>
        <w:t>свинца</w:t>
      </w:r>
      <w:r>
        <w:rPr>
          <w:rFonts w:ascii="Times New Roman CYR" w:hAnsi="Times New Roman CYR" w:cs="Times New Roman CYR"/>
          <w:kern w:val="0"/>
          <w:sz w:val="28"/>
          <w:szCs w:val="28"/>
          <w:lang w:val="be-BY"/>
        </w:rPr>
        <w:t xml:space="preserve"> в почвах, от данных, связанных с загрязнением поверхностного слоя почв.</w:t>
      </w:r>
    </w:p>
    <w:p w14:paraId="585C61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be-BY"/>
        </w:rPr>
      </w:pPr>
      <w:r>
        <w:rPr>
          <w:rFonts w:ascii="Times New Roman CYR" w:hAnsi="Times New Roman CYR" w:cs="Times New Roman CYR"/>
          <w:kern w:val="0"/>
          <w:sz w:val="28"/>
          <w:szCs w:val="28"/>
        </w:rPr>
        <w:t>К</w:t>
      </w:r>
      <w:r>
        <w:rPr>
          <w:rFonts w:ascii="Times New Roman CYR" w:hAnsi="Times New Roman CYR" w:cs="Times New Roman CYR"/>
          <w:kern w:val="0"/>
          <w:sz w:val="28"/>
          <w:szCs w:val="28"/>
          <w:lang w:val="be-BY"/>
        </w:rPr>
        <w:t xml:space="preserve">онцентрации </w:t>
      </w:r>
      <w:r>
        <w:rPr>
          <w:rFonts w:ascii="Times New Roman CYR" w:hAnsi="Times New Roman CYR" w:cs="Times New Roman CYR"/>
          <w:kern w:val="0"/>
          <w:sz w:val="28"/>
          <w:szCs w:val="28"/>
        </w:rPr>
        <w:t>свинца</w:t>
      </w:r>
      <w:r>
        <w:rPr>
          <w:rFonts w:ascii="Times New Roman CYR" w:hAnsi="Times New Roman CYR" w:cs="Times New Roman CYR"/>
          <w:kern w:val="0"/>
          <w:sz w:val="28"/>
          <w:szCs w:val="28"/>
          <w:lang w:val="be-BY"/>
        </w:rPr>
        <w:t xml:space="preserve"> в верхних горизонтах различных почв показывают, что они колеблются в пределах 3 - 189 мг/кг. При этом средние значения по типам почв составляют 10 - 67 мг/кг (общее среднее - 32 мг/кг). Высокие уровни содержания </w:t>
      </w:r>
      <w:r>
        <w:rPr>
          <w:rFonts w:ascii="Times New Roman CYR" w:hAnsi="Times New Roman CYR" w:cs="Times New Roman CYR"/>
          <w:kern w:val="0"/>
          <w:sz w:val="28"/>
          <w:szCs w:val="28"/>
        </w:rPr>
        <w:t xml:space="preserve">свинца </w:t>
      </w:r>
      <w:r>
        <w:rPr>
          <w:rFonts w:ascii="Times New Roman CYR" w:hAnsi="Times New Roman CYR" w:cs="Times New Roman CYR"/>
          <w:kern w:val="0"/>
          <w:sz w:val="28"/>
          <w:szCs w:val="28"/>
          <w:lang w:val="be-BY"/>
        </w:rPr>
        <w:t>(выше 100 мг/кг) обнаружены только в почвах Дании, Японии, Великобритании и Ирландии и, по-видимому, отражают воздействие загрязнения. В известковистых почвах Китая содержание Рb составляет 17 - 280 мг/кг при среднем значении 57 мг/кг. По мнению Дейвиса, верхний предел содержания Рb в нормальных почвах должен быть установлен в 70 мг/кг</w:t>
      </w:r>
      <w:r>
        <w:rPr>
          <w:rFonts w:ascii="Times New Roman CYR" w:hAnsi="Times New Roman CYR" w:cs="Times New Roman CYR"/>
          <w:kern w:val="0"/>
          <w:sz w:val="28"/>
          <w:szCs w:val="28"/>
        </w:rPr>
        <w:t xml:space="preserve"> [10].</w:t>
      </w:r>
    </w:p>
    <w:p w14:paraId="6B0338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be-BY"/>
        </w:rPr>
      </w:pPr>
      <w:r>
        <w:rPr>
          <w:rFonts w:ascii="Times New Roman CYR" w:hAnsi="Times New Roman CYR" w:cs="Times New Roman CYR"/>
          <w:kern w:val="0"/>
          <w:sz w:val="28"/>
          <w:szCs w:val="28"/>
          <w:lang w:val="be-BY"/>
        </w:rPr>
        <w:t>Реакции с компонентами почвы. Природные содержания Рb в почвах тесно связаны с составом подстилающих пород, и по имеющимся данным Рb среди тяжелых металлов наименее подвижен. Относительно низкие содержания Рb в природных почвенных растворах подтверждают этот вывод. Хотя формы нахождения Рb в разных типах почв могут существенно различаться, по ряду данных</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be-BY"/>
        </w:rPr>
        <w:t xml:space="preserve">можно заключить, что </w:t>
      </w:r>
      <w:r>
        <w:rPr>
          <w:rFonts w:ascii="Times New Roman CYR" w:hAnsi="Times New Roman CYR" w:cs="Times New Roman CYR"/>
          <w:kern w:val="0"/>
          <w:sz w:val="28"/>
          <w:szCs w:val="28"/>
        </w:rPr>
        <w:t>свинец</w:t>
      </w:r>
      <w:r>
        <w:rPr>
          <w:rFonts w:ascii="Times New Roman CYR" w:hAnsi="Times New Roman CYR" w:cs="Times New Roman CYR"/>
          <w:kern w:val="0"/>
          <w:sz w:val="28"/>
          <w:szCs w:val="28"/>
          <w:lang w:val="be-BY"/>
        </w:rPr>
        <w:t xml:space="preserve"> ассоциируется главным образом с глинистыми минералами, оксидами </w:t>
      </w:r>
      <w:r>
        <w:rPr>
          <w:rFonts w:ascii="Times New Roman CYR" w:hAnsi="Times New Roman CYR" w:cs="Times New Roman CYR"/>
          <w:kern w:val="0"/>
          <w:sz w:val="28"/>
          <w:szCs w:val="28"/>
        </w:rPr>
        <w:t>марганца</w:t>
      </w:r>
      <w:r>
        <w:rPr>
          <w:rFonts w:ascii="Times New Roman CYR" w:hAnsi="Times New Roman CYR" w:cs="Times New Roman CYR"/>
          <w:kern w:val="0"/>
          <w:sz w:val="28"/>
          <w:szCs w:val="28"/>
          <w:lang w:val="be-BY"/>
        </w:rPr>
        <w:t xml:space="preserve">, гидроксидами </w:t>
      </w:r>
      <w:r>
        <w:rPr>
          <w:rFonts w:ascii="Times New Roman CYR" w:hAnsi="Times New Roman CYR" w:cs="Times New Roman CYR"/>
          <w:kern w:val="0"/>
          <w:sz w:val="28"/>
          <w:szCs w:val="28"/>
        </w:rPr>
        <w:t xml:space="preserve">железа </w:t>
      </w:r>
      <w:r>
        <w:rPr>
          <w:rFonts w:ascii="Times New Roman CYR" w:hAnsi="Times New Roman CYR" w:cs="Times New Roman CYR"/>
          <w:kern w:val="0"/>
          <w:sz w:val="28"/>
          <w:szCs w:val="28"/>
          <w:lang w:val="be-BY"/>
        </w:rPr>
        <w:t>и</w:t>
      </w:r>
      <w:r>
        <w:rPr>
          <w:rFonts w:ascii="Times New Roman CYR" w:hAnsi="Times New Roman CYR" w:cs="Times New Roman CYR"/>
          <w:kern w:val="0"/>
          <w:sz w:val="28"/>
          <w:szCs w:val="28"/>
        </w:rPr>
        <w:t xml:space="preserve"> алюминия</w:t>
      </w:r>
      <w:r>
        <w:rPr>
          <w:rFonts w:ascii="Times New Roman CYR" w:hAnsi="Times New Roman CYR" w:cs="Times New Roman CYR"/>
          <w:kern w:val="0"/>
          <w:sz w:val="28"/>
          <w:szCs w:val="28"/>
          <w:lang w:val="be-BY"/>
        </w:rPr>
        <w:t xml:space="preserve"> и органическим веществом. Однако в некоторых почвах </w:t>
      </w:r>
      <w:r>
        <w:rPr>
          <w:rFonts w:ascii="Times New Roman CYR" w:hAnsi="Times New Roman CYR" w:cs="Times New Roman CYR"/>
          <w:kern w:val="0"/>
          <w:sz w:val="28"/>
          <w:szCs w:val="28"/>
        </w:rPr>
        <w:t xml:space="preserve">свинец </w:t>
      </w:r>
      <w:r>
        <w:rPr>
          <w:rFonts w:ascii="Times New Roman CYR" w:hAnsi="Times New Roman CYR" w:cs="Times New Roman CYR"/>
          <w:kern w:val="0"/>
          <w:sz w:val="28"/>
          <w:szCs w:val="28"/>
          <w:lang w:val="be-BY"/>
        </w:rPr>
        <w:t>может концентрироваться в частицах карбоната</w:t>
      </w:r>
      <w:r>
        <w:rPr>
          <w:rFonts w:ascii="Times New Roman CYR" w:hAnsi="Times New Roman CYR" w:cs="Times New Roman CYR"/>
          <w:kern w:val="0"/>
          <w:sz w:val="28"/>
          <w:szCs w:val="28"/>
        </w:rPr>
        <w:t xml:space="preserve"> кальция</w:t>
      </w:r>
      <w:r>
        <w:rPr>
          <w:rFonts w:ascii="Times New Roman CYR" w:hAnsi="Times New Roman CYR" w:cs="Times New Roman CYR"/>
          <w:kern w:val="0"/>
          <w:sz w:val="28"/>
          <w:szCs w:val="28"/>
          <w:lang w:val="be-BY"/>
        </w:rPr>
        <w:t xml:space="preserve"> или в фосфатных конкрециях.</w:t>
      </w:r>
    </w:p>
    <w:p w14:paraId="7598F3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be-BY"/>
        </w:rPr>
      </w:pPr>
      <w:r>
        <w:rPr>
          <w:rFonts w:ascii="Times New Roman CYR" w:hAnsi="Times New Roman CYR" w:cs="Times New Roman CYR"/>
          <w:kern w:val="0"/>
          <w:sz w:val="28"/>
          <w:szCs w:val="28"/>
          <w:lang w:val="be-BY"/>
        </w:rPr>
        <w:t xml:space="preserve">Растворимость </w:t>
      </w:r>
      <w:r>
        <w:rPr>
          <w:rFonts w:ascii="Times New Roman CYR" w:hAnsi="Times New Roman CYR" w:cs="Times New Roman CYR"/>
          <w:kern w:val="0"/>
          <w:sz w:val="28"/>
          <w:szCs w:val="28"/>
        </w:rPr>
        <w:t xml:space="preserve">свинца </w:t>
      </w:r>
      <w:r>
        <w:rPr>
          <w:rFonts w:ascii="Times New Roman CYR" w:hAnsi="Times New Roman CYR" w:cs="Times New Roman CYR"/>
          <w:kern w:val="0"/>
          <w:sz w:val="28"/>
          <w:szCs w:val="28"/>
          <w:lang w:val="be-BY"/>
        </w:rPr>
        <w:t xml:space="preserve">может быть сильно понижена известкованием. При высоких рН </w:t>
      </w:r>
      <w:r>
        <w:rPr>
          <w:rFonts w:ascii="Times New Roman CYR" w:hAnsi="Times New Roman CYR" w:cs="Times New Roman CYR"/>
          <w:kern w:val="0"/>
          <w:sz w:val="28"/>
          <w:szCs w:val="28"/>
        </w:rPr>
        <w:t xml:space="preserve">свинец </w:t>
      </w:r>
      <w:r>
        <w:rPr>
          <w:rFonts w:ascii="Times New Roman CYR" w:hAnsi="Times New Roman CYR" w:cs="Times New Roman CYR"/>
          <w:kern w:val="0"/>
          <w:sz w:val="28"/>
          <w:szCs w:val="28"/>
          <w:lang w:val="be-BY"/>
        </w:rPr>
        <w:t xml:space="preserve">будет осаждаться в почве в виде гидроксида, фосфата, карбоната; эти же условия способствуют образованию </w:t>
      </w:r>
      <w:r>
        <w:rPr>
          <w:rFonts w:ascii="Times New Roman CYR" w:hAnsi="Times New Roman CYR" w:cs="Times New Roman CYR"/>
          <w:kern w:val="0"/>
          <w:sz w:val="28"/>
          <w:szCs w:val="28"/>
        </w:rPr>
        <w:t>свинец</w:t>
      </w:r>
      <w:r>
        <w:rPr>
          <w:rFonts w:ascii="Times New Roman CYR" w:hAnsi="Times New Roman CYR" w:cs="Times New Roman CYR"/>
          <w:kern w:val="0"/>
          <w:sz w:val="28"/>
          <w:szCs w:val="28"/>
          <w:lang w:val="be-BY"/>
        </w:rPr>
        <w:t>-органических комплексов.</w:t>
      </w:r>
    </w:p>
    <w:p w14:paraId="07D2EA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be-BY"/>
        </w:rPr>
        <w:t xml:space="preserve">Иллиты проявляют гораздо большую склонность к сорбции </w:t>
      </w:r>
      <w:r>
        <w:rPr>
          <w:rFonts w:ascii="Times New Roman CYR" w:hAnsi="Times New Roman CYR" w:cs="Times New Roman CYR"/>
          <w:kern w:val="0"/>
          <w:sz w:val="28"/>
          <w:szCs w:val="28"/>
        </w:rPr>
        <w:t>свинца</w:t>
      </w:r>
      <w:r>
        <w:rPr>
          <w:rFonts w:ascii="Times New Roman CYR" w:hAnsi="Times New Roman CYR" w:cs="Times New Roman CYR"/>
          <w:kern w:val="0"/>
          <w:sz w:val="28"/>
          <w:szCs w:val="28"/>
          <w:lang w:val="be-BY"/>
        </w:rPr>
        <w:t>, нежели другие глинистые минералы.</w:t>
      </w:r>
      <w:r>
        <w:rPr>
          <w:rFonts w:ascii="Times New Roman CYR" w:hAnsi="Times New Roman CYR" w:cs="Times New Roman CYR"/>
          <w:kern w:val="0"/>
          <w:sz w:val="28"/>
          <w:szCs w:val="28"/>
        </w:rPr>
        <w:t xml:space="preserve"> А</w:t>
      </w:r>
      <w:r>
        <w:rPr>
          <w:rFonts w:ascii="Times New Roman CYR" w:hAnsi="Times New Roman CYR" w:cs="Times New Roman CYR"/>
          <w:kern w:val="0"/>
          <w:sz w:val="28"/>
          <w:szCs w:val="28"/>
          <w:lang w:val="be-BY"/>
        </w:rPr>
        <w:t xml:space="preserve">дсорбция </w:t>
      </w:r>
      <w:r>
        <w:rPr>
          <w:rFonts w:ascii="Times New Roman CYR" w:hAnsi="Times New Roman CYR" w:cs="Times New Roman CYR"/>
          <w:kern w:val="0"/>
          <w:sz w:val="28"/>
          <w:szCs w:val="28"/>
        </w:rPr>
        <w:t xml:space="preserve">свинца </w:t>
      </w:r>
      <w:r>
        <w:rPr>
          <w:rFonts w:ascii="Times New Roman CYR" w:hAnsi="Times New Roman CYR" w:cs="Times New Roman CYR"/>
          <w:kern w:val="0"/>
          <w:sz w:val="28"/>
          <w:szCs w:val="28"/>
          <w:lang w:val="be-BY"/>
        </w:rPr>
        <w:t>зависит от числа лига</w:t>
      </w: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be-BY"/>
        </w:rPr>
        <w:t xml:space="preserve">дов, участвующих в образовании гидроксокомплексов </w:t>
      </w:r>
      <w:r>
        <w:rPr>
          <w:rFonts w:ascii="Times New Roman CYR" w:hAnsi="Times New Roman CYR" w:cs="Times New Roman CYR"/>
          <w:kern w:val="0"/>
          <w:sz w:val="28"/>
          <w:szCs w:val="28"/>
        </w:rPr>
        <w:t>свинца</w:t>
      </w:r>
      <w:r>
        <w:rPr>
          <w:rFonts w:ascii="Times New Roman CYR" w:hAnsi="Times New Roman CYR" w:cs="Times New Roman CYR"/>
          <w:kern w:val="0"/>
          <w:sz w:val="28"/>
          <w:szCs w:val="28"/>
          <w:lang w:val="be-BY"/>
        </w:rPr>
        <w:t xml:space="preserve"> (например, </w:t>
      </w:r>
      <w:r>
        <w:rPr>
          <w:rFonts w:ascii="Times New Roman CYR" w:hAnsi="Times New Roman CYR" w:cs="Times New Roman CYR"/>
          <w:kern w:val="0"/>
          <w:sz w:val="28"/>
          <w:szCs w:val="28"/>
          <w:lang w:val="be-BY"/>
        </w:rPr>
        <w:lastRenderedPageBreak/>
        <w:t>РbОН</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be-BY"/>
        </w:rPr>
        <w:t>, Рb</w:t>
      </w:r>
      <w:r>
        <w:rPr>
          <w:rFonts w:ascii="Times New Roman CYR" w:hAnsi="Times New Roman CYR" w:cs="Times New Roman CYR"/>
          <w:kern w:val="0"/>
          <w:sz w:val="28"/>
          <w:szCs w:val="28"/>
        </w:rPr>
        <w:t>4</w:t>
      </w:r>
      <w:r>
        <w:rPr>
          <w:rFonts w:ascii="Times New Roman CYR" w:hAnsi="Times New Roman CYR" w:cs="Times New Roman CYR"/>
          <w:kern w:val="0"/>
          <w:sz w:val="28"/>
          <w:szCs w:val="28"/>
          <w:lang w:val="be-BY"/>
        </w:rPr>
        <w:t>(ОН)</w:t>
      </w:r>
      <w:r>
        <w:rPr>
          <w:rFonts w:ascii="Times New Roman CYR" w:hAnsi="Times New Roman CYR" w:cs="Times New Roman CYR"/>
          <w:kern w:val="0"/>
          <w:sz w:val="28"/>
          <w:szCs w:val="28"/>
        </w:rPr>
        <w:t>+44</w:t>
      </w:r>
      <w:r>
        <w:rPr>
          <w:rFonts w:ascii="Times New Roman CYR" w:hAnsi="Times New Roman CYR" w:cs="Times New Roman CYR"/>
          <w:kern w:val="0"/>
          <w:sz w:val="28"/>
          <w:szCs w:val="28"/>
          <w:lang w:val="be-BY"/>
        </w:rPr>
        <w:t>).</w:t>
      </w:r>
    </w:p>
    <w:p w14:paraId="416E65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Свинец более избирательно адсорбируется на оксидах железа, галлуазите и имоголите, нежели на гумусе, каолините и монтмориллоните. Другими авторами установлена большая склонность оксидов марганца к сорбции мвинца. Характерная локализация свинца в приповерхностном слое большинства почвенных профилей связана в основном с накоплением здесь органического вещества. Наибольшие концентрации свинца обнаруживаются в обогащенном органическим веществом верхнем слое необрабатываемых почв. Таким образом, органическое вещество должно, вероятно, рассматриваться как важный потребитель свинца в загрязненных почвах [3].</w:t>
      </w:r>
    </w:p>
    <w:p w14:paraId="433650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Загрязнение почв. Судьба антропогенных добавок свинца в почвах привлекает в последнее время большое внимание, поскольку для человека и животных этот элемент опасен при поступлении из двух источников - через пищевую цепь и при вдыхании пыли. Непрерывное возрастание количества Pb в поверхностном слое почв как пахотных, так и необрабатываемых установлено в различных наземных экосистемах. Накопление свинца в поверхностном слое почв, подвергающихся загрязнению из различных источников, уже привело в ряде мест к концентрациям, достигающим 2% на сухое вещество почвы . Уровни содержания свинца, при которых он становится токсичным для растений, оценить нелегко, однако разные авторы дают довольно близкие значения, колеблющиеся в пределах 100 - 500 мг/кг.</w:t>
      </w:r>
    </w:p>
    <w:p w14:paraId="15ADD9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Обзоры исследований соединений свинца в загрязненных почвах приведены рядом авторов. Главная доля свинцовых загрязнений, поступающих от предприятий цветной металлургии, представлена минеральными формами (например, PbS, PbO, PbS04), тогда как в выхлопных газах автомобилей Рb присутствует в виде галогенидных солей (например, РbВr2, PbBrCl, Рb(ОН)Br, (РbО)2РbВr2). Содержащие Рb частицы выхлопных газов неустойчивы и легко превращаются в оксиды, карбонаты и сульфаты.</w:t>
      </w:r>
    </w:p>
    <w:p w14:paraId="497F2F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Поскольку свинец поступает в почву в виде разнообразных и сложных соединений, его реакции могут сильно изменяться от места к месту. Действительно, по вопросу о том, подвижен или устойчив свинец в почве при поступлении его в составе загрязнений, мнения расходятся. В лесных почвах свинец - наиболее устойчивый металл и расчетное время, необходимое для снижения его общей концентрации на 10% путем выщелачивания, составляет 200 лет для загрязненной почвы и 90 лет для «контрольной». Однако в целом ряд наблюдений над балансом свинец в различных экосистемах показывает, что привнос этого элемента существенно превышает его вынос.</w:t>
      </w:r>
    </w:p>
    <w:p w14:paraId="2F593C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Загрязнение почв свинцом не вызывало до последнего времени большого беспокойства из-за нерастворимости адсорбированных и осажденных ионов свинца в почве. Сильная адсорбция свинца почвами означает, что добавка его в почвы будет иметь в целом постоянный и необратимый характер. Однако содержание свинца в корнях коррелирует с содержанием его в почвах, что указывает на поглощение свинца растениями. Некоторые почвенные и растительные факторы (например, низкий рН почв, низкое содержание фосфора в почве, присутствие органических лигандов), как известно, способствуют поглощению свинца корнями или перемещению его в надземные части растений. Накопление свинца в поверхностном слое почв имеет также огромное экологическое значение, потому что этот элемент сильно воздействует на биологическую активность почв.</w:t>
      </w:r>
    </w:p>
    <w:p w14:paraId="0D63F5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Почвенная микрофлора способна накапливать свинец с высокой скоростью, пропорциональной содержанию этого элемента в почве. Консументы, например земляные черви, также иногда накапливают свинец, извлекаемый из почвенного субстрата; этот процесс играет важную роль во вторичном переотложении свинца в поверхностном слое почв.</w:t>
      </w:r>
    </w:p>
    <w:p w14:paraId="4EC6AA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последнее время концентрации свинца в почвах неуклонно растут и могут существенно затормозить микробиологические процессы. Подобные </w:t>
      </w:r>
      <w:r>
        <w:rPr>
          <w:rFonts w:ascii="Times New Roman CYR" w:hAnsi="Times New Roman CYR" w:cs="Times New Roman CYR"/>
          <w:kern w:val="0"/>
          <w:sz w:val="28"/>
          <w:szCs w:val="28"/>
        </w:rPr>
        <w:lastRenderedPageBreak/>
        <w:t>эффекты следует, по-видимому, ожидать главным образом в почвах с низким значением катионообменной емкости. Однако при длительном загрязнении они могут проявиться и в почвах с высоким уровнем катионообменной емкости. Процессы метилирования некоторых соединений свинца могут быть и биологическими, и чисто химическими. Более вероятно, что превращения соединений тетраалкилсвинца в почвах - это небиологический процесс [10].</w:t>
      </w:r>
    </w:p>
    <w:p w14:paraId="367C19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Растения. Хотя в природных условиях свиенец присутствует во всех растениях, выявить какую-либо особую его роль в метаболизме не удалось. </w:t>
      </w:r>
    </w:p>
    <w:p w14:paraId="51EA4A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Свинец и необходим для растений, то его концентраций на уровне 2-6 мкг/кг должно быть уже достаточно. В последнее время свинец привлекает большое внимание как один из главных компонентов химических загрязнений среды и как элемент токсичный для растений [2].</w:t>
      </w:r>
    </w:p>
    <w:p w14:paraId="2449CF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Поглощение и перенос. Детальный анализ данных о поглощении свинца корнями растений позволил прийти к заключению, что способ его поглощения - пассивный. Скорость поглощения понижается при известковании и низких температурах. Несмотря на плохую растворимость свинца в почве, он поглощается корневыми волосками и задерживается в стенках клеток. Поглощение и аккумулирование в больших количествах пагубно воздействует на клетки, ткани и органы растительных организмов. Важное значение свинец играет и при взаимодействии с другими элементами.</w:t>
      </w:r>
    </w:p>
    <w:p w14:paraId="3EA754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be-BY"/>
        </w:rPr>
        <w:t xml:space="preserve">Взаимодействие с другими элементами. Стимулирующее действие свинец оказывает на поглощение кадмия корнями растений, связанным с нарушением переноса ионов через мембрану. Антагонизм цинка и свинца выражается во взаимно неблагоприятном переносе элементов от корней в надземные части. Свинец способен имитировать физиологическое поведение Са и тем самым сдерживать активность некоторых энзимов. Катионы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lang w:val="be-BY"/>
        </w:rPr>
        <w:t xml:space="preserve"> 2+ в тоже время не лимитируют поступление комплексных соединений свинца в почву. Степень благотворного воздействия известкования почв на снижение поглощения </w:t>
      </w:r>
      <w:r>
        <w:rPr>
          <w:rFonts w:ascii="Times New Roman CYR" w:hAnsi="Times New Roman CYR" w:cs="Times New Roman CYR"/>
          <w:kern w:val="0"/>
          <w:sz w:val="28"/>
          <w:szCs w:val="28"/>
          <w:lang w:val="be-BY"/>
        </w:rPr>
        <w:lastRenderedPageBreak/>
        <w:t xml:space="preserve">свинца корнями растений зависит от типа почвы. Положительный режим фосфора снижает токсическое действие свинца, что хорошо сказывается на развитии клеток, тканей, органов растений. Не мало важное значение сера оказывает на движение свинца в растениях. Известно, что </w:t>
      </w:r>
      <w:r>
        <w:rPr>
          <w:rFonts w:ascii="Times New Roman CYR" w:hAnsi="Times New Roman CYR" w:cs="Times New Roman CYR"/>
          <w:kern w:val="0"/>
          <w:sz w:val="28"/>
          <w:szCs w:val="28"/>
        </w:rPr>
        <w:t>сера</w:t>
      </w:r>
      <w:r>
        <w:rPr>
          <w:rFonts w:ascii="Times New Roman CYR" w:hAnsi="Times New Roman CYR" w:cs="Times New Roman CYR"/>
          <w:kern w:val="0"/>
          <w:sz w:val="28"/>
          <w:szCs w:val="28"/>
          <w:lang w:val="be-BY"/>
        </w:rPr>
        <w:t xml:space="preserve"> замедляет перенос </w:t>
      </w:r>
      <w:r>
        <w:rPr>
          <w:rFonts w:ascii="Times New Roman CYR" w:hAnsi="Times New Roman CYR" w:cs="Times New Roman CYR"/>
          <w:kern w:val="0"/>
          <w:sz w:val="28"/>
          <w:szCs w:val="28"/>
        </w:rPr>
        <w:t>свинца</w:t>
      </w:r>
      <w:r>
        <w:rPr>
          <w:rFonts w:ascii="Times New Roman CYR" w:hAnsi="Times New Roman CYR" w:cs="Times New Roman CYR"/>
          <w:kern w:val="0"/>
          <w:sz w:val="28"/>
          <w:szCs w:val="28"/>
          <w:lang w:val="be-BY"/>
        </w:rPr>
        <w:t xml:space="preserve"> из корней в побеги. </w:t>
      </w:r>
      <w:r>
        <w:rPr>
          <w:rFonts w:ascii="Times New Roman CYR" w:hAnsi="Times New Roman CYR" w:cs="Times New Roman CYR"/>
          <w:kern w:val="0"/>
          <w:sz w:val="28"/>
          <w:szCs w:val="28"/>
        </w:rPr>
        <w:t>Д</w:t>
      </w:r>
      <w:r>
        <w:rPr>
          <w:rFonts w:ascii="Times New Roman CYR" w:hAnsi="Times New Roman CYR" w:cs="Times New Roman CYR"/>
          <w:kern w:val="0"/>
          <w:sz w:val="28"/>
          <w:szCs w:val="28"/>
          <w:lang w:val="be-BY"/>
        </w:rPr>
        <w:t xml:space="preserve">ефицит </w:t>
      </w:r>
      <w:r>
        <w:rPr>
          <w:rFonts w:ascii="Times New Roman CYR" w:hAnsi="Times New Roman CYR" w:cs="Times New Roman CYR"/>
          <w:kern w:val="0"/>
          <w:sz w:val="28"/>
          <w:szCs w:val="28"/>
        </w:rPr>
        <w:t>серы</w:t>
      </w:r>
      <w:r>
        <w:rPr>
          <w:rFonts w:ascii="Times New Roman CYR" w:hAnsi="Times New Roman CYR" w:cs="Times New Roman CYR"/>
          <w:kern w:val="0"/>
          <w:sz w:val="28"/>
          <w:szCs w:val="28"/>
          <w:lang w:val="be-BY"/>
        </w:rPr>
        <w:t xml:space="preserve"> заметно повышает подвижность Pb в надземных частях растений.</w:t>
      </w:r>
      <w:r>
        <w:rPr>
          <w:rFonts w:ascii="Times New Roman CYR" w:hAnsi="Times New Roman CYR" w:cs="Times New Roman CYR"/>
          <w:kern w:val="0"/>
          <w:sz w:val="28"/>
          <w:szCs w:val="28"/>
        </w:rPr>
        <w:t xml:space="preserve"> Концентрации свинца</w:t>
      </w:r>
      <w:r>
        <w:rPr>
          <w:rFonts w:ascii="Times New Roman CYR" w:hAnsi="Times New Roman CYR" w:cs="Times New Roman CYR"/>
          <w:kern w:val="0"/>
          <w:sz w:val="28"/>
          <w:szCs w:val="28"/>
          <w:lang w:val="be-BY"/>
        </w:rPr>
        <w:t xml:space="preserve"> -</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be-BY"/>
        </w:rPr>
        <w:t xml:space="preserve">главный компонент химического загрязнения окружающей среды, поэтому его концентрация в растительности некоторых стран заметно возросла в последние десятилетия. Кроме того, необходимо собирать и сохранять образцы и данные о незагрязненных областях </w:t>
      </w:r>
      <w:r>
        <w:rPr>
          <w:rFonts w:ascii="Times New Roman CYR" w:hAnsi="Times New Roman CYR" w:cs="Times New Roman CYR"/>
          <w:kern w:val="0"/>
          <w:sz w:val="28"/>
          <w:szCs w:val="28"/>
        </w:rPr>
        <w:t>[4].</w:t>
      </w:r>
    </w:p>
    <w:p w14:paraId="34560C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be-BY"/>
        </w:rPr>
      </w:pPr>
      <w:r>
        <w:rPr>
          <w:rFonts w:ascii="Times New Roman CYR" w:hAnsi="Times New Roman CYR" w:cs="Times New Roman CYR"/>
          <w:kern w:val="0"/>
          <w:sz w:val="28"/>
          <w:szCs w:val="28"/>
          <w:lang w:val="be-BY"/>
        </w:rPr>
        <w:t xml:space="preserve">Широкие вариации содержания </w:t>
      </w:r>
      <w:r>
        <w:rPr>
          <w:rFonts w:ascii="Times New Roman CYR" w:hAnsi="Times New Roman CYR" w:cs="Times New Roman CYR"/>
          <w:kern w:val="0"/>
          <w:sz w:val="28"/>
          <w:szCs w:val="28"/>
        </w:rPr>
        <w:t>свинца</w:t>
      </w:r>
      <w:r>
        <w:rPr>
          <w:rFonts w:ascii="Times New Roman CYR" w:hAnsi="Times New Roman CYR" w:cs="Times New Roman CYR"/>
          <w:kern w:val="0"/>
          <w:sz w:val="28"/>
          <w:szCs w:val="28"/>
          <w:lang w:val="be-BY"/>
        </w:rPr>
        <w:t xml:space="preserve"> в растениях возникают под действием различных факторов среды, например наличия геохимических аномалий, загрязнения, сезонных колебаний, способности генотипа накапливать </w:t>
      </w:r>
      <w:r>
        <w:rPr>
          <w:rFonts w:ascii="Times New Roman CYR" w:hAnsi="Times New Roman CYR" w:cs="Times New Roman CYR"/>
          <w:kern w:val="0"/>
          <w:sz w:val="28"/>
          <w:szCs w:val="28"/>
        </w:rPr>
        <w:t>свинец</w:t>
      </w:r>
      <w:r>
        <w:rPr>
          <w:rFonts w:ascii="Times New Roman CYR" w:hAnsi="Times New Roman CYR" w:cs="Times New Roman CYR"/>
          <w:kern w:val="0"/>
          <w:sz w:val="28"/>
          <w:szCs w:val="28"/>
          <w:lang w:val="be-BY"/>
        </w:rPr>
        <w:t xml:space="preserve">. Тем не менее естественные уровни содержаний </w:t>
      </w:r>
      <w:r>
        <w:rPr>
          <w:rFonts w:ascii="Times New Roman CYR" w:hAnsi="Times New Roman CYR" w:cs="Times New Roman CYR"/>
          <w:kern w:val="0"/>
          <w:sz w:val="28"/>
          <w:szCs w:val="28"/>
        </w:rPr>
        <w:t xml:space="preserve">свинец </w:t>
      </w:r>
      <w:r>
        <w:rPr>
          <w:rFonts w:ascii="Times New Roman CYR" w:hAnsi="Times New Roman CYR" w:cs="Times New Roman CYR"/>
          <w:kern w:val="0"/>
          <w:sz w:val="28"/>
          <w:szCs w:val="28"/>
          <w:lang w:val="be-BY"/>
        </w:rPr>
        <w:t>в растениях из незагрязненных и безрудных областей, по-видимому, довольно постоянны и лежат в пределах 0,1 -</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be-BY"/>
        </w:rPr>
        <w:t>10,0 мг/кг сухой массы (среднее 2 мг/кг)</w:t>
      </w:r>
    </w:p>
    <w:p w14:paraId="643AEF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Содержания свинца в съедобных частях растений, произрастающих в незагрязненных областях составляют 0,001 - 0,08 мг/кг влажной массы,</w:t>
      </w:r>
    </w:p>
    <w:p w14:paraId="440621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,05-3,0 мг/кг сухой массы и 2,7 - 94,0 мг/кг золы. Хотя средние содержания свинца, вычисленные для зерна злаковых культур из различных стран, кажутся сильно изменчивыми (0,01 - 2,28 мг/кг сухой массы), общее среднее, вычисленное после исключения двух крайних значений, составляет 0,47мг/кг и довольно близко к обычно наблюдаемым концентрациям.</w:t>
      </w:r>
    </w:p>
    <w:p w14:paraId="3A36E4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Огромное значение для охраны окружающей среды имеет способность растений поглощать свинец из двух источников - почвы и воздуха, несмотря на то, что свинец считается металлом с низкой биологической доступностью и больше всего накапливается в тканях корней. Некоторые виды растений и генотипы приспосабливаются к высоким концентрациям свинца в среде роста. </w:t>
      </w:r>
      <w:r>
        <w:rPr>
          <w:rFonts w:ascii="Times New Roman CYR" w:hAnsi="Times New Roman CYR" w:cs="Times New Roman CYR"/>
          <w:kern w:val="0"/>
          <w:sz w:val="28"/>
          <w:szCs w:val="28"/>
        </w:rPr>
        <w:lastRenderedPageBreak/>
        <w:t>Это непосредственно отражается в аномально высоких количествах свинца в таких растениях. Наибольшая степень биологического накопления свинца отмечена для листовых овощей, выращенных в окрестностях предприятий цветной металлургии, где растения подвергаются воздействию свинцовых загрязнений и через почву, и через воздух. В этих условиях сильно зараженный салат может содержать до 0,15% свинца (на сухую массу).</w:t>
      </w:r>
    </w:p>
    <w:p w14:paraId="66D6AE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имеющимся данным загрязнение почв, связанное с сельскохозяйственной деятельностью, относительно слабо влияет на концентрацию свинца в растениях. Орошение обогащенными свинцом сточными водами в течение достаточно длительного времени еще не применялось на практике. Поэтому сейчас рано давать оценку общему воздействию на среду возрастающих содержаний свинца в почве, связанных с длительным использованием стоков. Повышенное содержание свинца в овощах, выращенных в урбанизированных и индустриальных районах, представляет опасность для здоровья человека [3].</w:t>
      </w:r>
    </w:p>
    <w:p w14:paraId="54F007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Биохимическая роль. Хотя нет данных, свидетельствующих о том, что свинец жизненно необходим для роста каких-либо видов растений, имеется много сообщений о стимулирующем действии на рост последних некоторых солей свинца (главным образом Pb(NO3)2) при низких концентрациях. Более того, описаны эффекты торможения метаболизма растений, возникающие из-за низких уровней содержания свинца. Взаимодействие свинца с другими элементами в различных условиях среды не позволяет надежно определить, какие его концентрации токсичны для жизненных процессов в растениях. В ряде работ описано токсичное действие свинца на такие процессы, как фотосинтез, митоз, поглощение воды. Однако симптомы свинцового токсикоза у растений не очень специфичны. Субклеточное воздействие свинца на ткани растений связано с ингибированием дыхания и фотосинтеза, вызванным нарушением реакций переноса электронов. Установлено, что ингибирование </w:t>
      </w:r>
      <w:r>
        <w:rPr>
          <w:rFonts w:ascii="Times New Roman CYR" w:hAnsi="Times New Roman CYR" w:cs="Times New Roman CYR"/>
          <w:kern w:val="0"/>
          <w:sz w:val="28"/>
          <w:szCs w:val="28"/>
        </w:rPr>
        <w:lastRenderedPageBreak/>
        <w:t>этих процессов в митохондриях кукурузы происходит уже при таких низких концентрациях свинца, как 1 мг/кг. Процессы фотосинтеза в листьях подсолнечника ослаблялись вдвое при концентрации свинца около 1мкмоль/г.</w:t>
      </w:r>
    </w:p>
    <w:p w14:paraId="176979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Некоторые растительные виды, экотипы и бактериальные штаммы способны вырабатывать толерантность к свинцу, которая, по-видимому, связана со свойствами мембран. Свинец сильно связывается в стенках клеток, при этом пектиновая кислота становится более активным его сорбентом; таким образом, свинец существенно влияет на эластичность и пластичность стенок клеток, что ведет к возрастанию твердости тканей.</w:t>
      </w:r>
    </w:p>
    <w:p w14:paraId="445B9F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 чувствительных растительных видов или бактериальных штаммов в клеточных стенках связывается больше свинца, чем у толерантных к нему растений. Отложение свинца на мембранах, вероятно, нарушает их функции. С другой стороны, в толерантных к свинцу экотипах свинец может накапливаться в неактивных формах, например в пирофосфатах и ортофосфатах. Эти соединения были идентифицированы в корнях растений, выросших в условиях «свинцового стресса». Различия в поведении чувствительных и толерантных к свинцу бактериальных штаммов проявляются главным образом в скорости роста бактериальных культур.</w:t>
      </w:r>
    </w:p>
    <w:p w14:paraId="09FA23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Известно, что даже очень низкие концентрации свинца могут замедлять некоторые жизненные процессы в растениях, тем не менее, свинцовые отравления у растений, произрастающих в естественных условиях, наблюдались редко. Анализ проблемы позволил выдвинуть два возможных объяснения такого явления:</w:t>
      </w:r>
    </w:p>
    <w:p w14:paraId="5C1EEB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относительно низкое содержание свинца в почве.</w:t>
      </w:r>
    </w:p>
    <w:p w14:paraId="294183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низкая биологическая доступность свинца даже в условиях загрязненных почв.</w:t>
      </w:r>
    </w:p>
    <w:p w14:paraId="51554E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Токсичное действие связано в основном с нарушением фундаментальных биологических процессов, таких, как фотосинтез, рост, митоз и т. п. </w:t>
      </w:r>
      <w:r>
        <w:rPr>
          <w:rFonts w:ascii="Times New Roman CYR" w:hAnsi="Times New Roman CYR" w:cs="Times New Roman CYR"/>
          <w:kern w:val="0"/>
          <w:sz w:val="28"/>
          <w:szCs w:val="28"/>
        </w:rPr>
        <w:lastRenderedPageBreak/>
        <w:t>Токсичность органических форм Рb не только превосходит токсичность неорганических форм, но и вызываемые этими двумя типами агентов эффекты различаются качественно. Различие в действии, скорее всего, вызвано различными физико-химическими свойствами органических и неорганических соединений свинца [9].</w:t>
      </w:r>
    </w:p>
    <w:p w14:paraId="50B7F2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D386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Тяжелые металлы в почве и методы изучения их подвижности</w:t>
      </w:r>
    </w:p>
    <w:p w14:paraId="3CEC7B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39A8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системе циклического массообмена металлов особое место занимает почва, в которой сходятся общие миграционные потоки. С одной стороны, в почве мобилизуются металлы, вовлекаемые затем в различные миграционные циклы, с другой - перераспределяются массы металлов, поступающие из почвообразующих пород, с опадом растительности и осаждениями из атмосферы. Регулирование почвой массопотоков металлов обусловлено системой равновесий и взаимопереходов между различными формами нахождения металлов, различающихся прочностью закрепления и способностью включаться в тот или иной вид миграции. Избыточные массы металлов, поступившие в биосферу в силу природных явлений в результате техногенного загрязнения, выводятся из системы миграционных циклов и прочно связываются в твёрдой фазе почвы, откуда они могут постепенно мобилизоваться и пополнять отдельные массопотоки [3].</w:t>
      </w:r>
    </w:p>
    <w:p w14:paraId="59F188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 в почве тяжёлых металлов и сопряжённая с этим транслокация их в растения - сложный процесс, на который влияет множество факторов. Чтобы понять механизм воздействия каждого из них, следует изучить влияние отдельных факторов в условиях эксперимента.</w:t>
      </w:r>
    </w:p>
    <w:p w14:paraId="220193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 характере связывания свинца можно судить по их содержанию в почвах и зависимости профильного распределения от свойств почв. В почвы свинец и кадмий поступают в виде примесей в удобрениях, галогенидов и оксидов этих </w:t>
      </w:r>
      <w:r>
        <w:rPr>
          <w:rFonts w:ascii="Times New Roman CYR" w:hAnsi="Times New Roman CYR" w:cs="Times New Roman CYR"/>
          <w:kern w:val="0"/>
          <w:sz w:val="28"/>
          <w:szCs w:val="28"/>
        </w:rPr>
        <w:lastRenderedPageBreak/>
        <w:t>металлов, которые содержатся в выхлопных газах автомобилей при использовании тетраэтилсвинца в качестве добавки к бензину, в составе отходов, образующихся при добыче и переработке отработанных аккумуляторных батарей [14,18].</w:t>
      </w:r>
    </w:p>
    <w:p w14:paraId="31973D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 свинца составляет от 2 до 300 мг/кг. Средние значения для антропогенно незагрязнённых ландшафтов оценивается как 15 - 17 мг/кг в почвах лёгкого состава и 17 - 22 мг/кг в почвах тяжёлого состава.</w:t>
      </w:r>
    </w:p>
    <w:p w14:paraId="122CD8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поверхностном горизонте содержание свинца чаще всего оказывается наиболее высоким. В промышленных и рудодобывающих районах это относят за счёт антропогенного воздействия. Тем не менее, повышенная концентрация свинца в поверхностном слое не обязательно означает загрязнение слоя за счёт атмосферных выпадений. Почти во всех незагрязненных районах содержание элемента существенно больше в лесной подстилке и гумусовых горизонтах, особенно в корнеобитаемой зоне. Можно предположить, что такое распределение формируется из-за перераспределения свинца, содержащегося в почвообразующейся породе, под влияние выноса его растениями и последующем накоплении в лесной подстилке и гумусовом горизонте, в которых концентрации свинца оказываются максимальными. В целом, валовое содержание свинца и его профильное распределение не информативны для понимания характера связывания этого элемента в почвах, доступности растениям и возможности выноса его из почвы с поверхностным или грунтовым стоком. Решающее значение для ответа на эти вопросы, очевидно, должен иметь химический состав и свойства соединений, в составе которых металл находится.</w:t>
      </w:r>
    </w:p>
    <w:p w14:paraId="5D7857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почве подавляющая часть свинца находится в виде твёрдых соединений. Рекомендуемые в литературе методики, позволяют выделить лишь некоторые условные фракции свинца, которые нельзя отнести к каким-то определенным химическим соединениям.</w:t>
      </w:r>
    </w:p>
    <w:p w14:paraId="6CCAF5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целом, они дают всё же основание полагать, что в кислых почвах </w:t>
      </w:r>
      <w:r>
        <w:rPr>
          <w:rFonts w:ascii="Times New Roman CYR" w:hAnsi="Times New Roman CYR" w:cs="Times New Roman CYR"/>
          <w:kern w:val="0"/>
          <w:sz w:val="28"/>
          <w:szCs w:val="28"/>
        </w:rPr>
        <w:lastRenderedPageBreak/>
        <w:t>существует часть свинца, вплоть до 70%, способная действительно обмениваться на другие ионы; в нейтральных почвах преобладают фракции, связанные с оксидами железа, марганца и органическим веществом, а в слабощелочных и щелочных условиях свинец распределён между «карбонатной», «органической» и «остаточной» фракциями. Тем не менее, химический состав и свойства соединений, присутствие которых обусловливает наличие элемента в этих «фракциях», остаются неясным [5].</w:t>
      </w:r>
    </w:p>
    <w:p w14:paraId="4127FC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Само по себе «фракционирование» сравнительно малоинформативно. Твёрдые соединения свинца в почвах находятся во взаимодействии с почвенным раствором, через который происходит как поступление элемента в растения, так и внутрипочвенная миграция, и трансформация его соединений. Характер связывания свинца в твёрдых составляющих, очевидно, и определяет его концентрацию в растворе, которая должна, таким образом, отражать свойства соединений, в которых находится свинец. Чтобы понять причины появления свинца в почвенном растворе, необходимо проанализировать свойства соединений этого элемента, которые могли бы присутствовать в почвах, и возможные механизмы его связывания[3].</w:t>
      </w:r>
    </w:p>
    <w:p w14:paraId="36102E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C35C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Почва как полифункциональный сорбент</w:t>
      </w:r>
    </w:p>
    <w:p w14:paraId="52B202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102E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Почва - это полифункциональный сорбент, гетерогенная четырехфазная система (жидкая, твердая, газообразная фазы и живые организмы). С увеличением почвенной кислотности способность почв адсорбировать тяжелые металлы снижается. Влияние кислотности на величину адсорбции обусловлено несколькими процессами, протекание которых зависит от реакции среды: гидролизом тяжелых металлов, специфической адсорбцией тяжелых металлов на илистых частицах.</w:t>
      </w:r>
    </w:p>
    <w:p w14:paraId="11C290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 адсорбцию сильно влияет органическое вещество почвы. Так </w:t>
      </w:r>
      <w:r>
        <w:rPr>
          <w:rFonts w:ascii="Times New Roman CYR" w:hAnsi="Times New Roman CYR" w:cs="Times New Roman CYR"/>
          <w:kern w:val="0"/>
          <w:sz w:val="28"/>
          <w:szCs w:val="28"/>
        </w:rPr>
        <w:lastRenderedPageBreak/>
        <w:t>адсорбции тяжелых металлов гумусом происходит с участием карбоксильных и фенольных групп, путем замещение водорода на ионы металла. При этом образуются хелаты, в которых металл входит в анионную часть молекул органического вещества. В этом случае металл соединен координационными (гомеополярными) связями и не проявляет себя как катион. Комплекс также может металл в обмен на катион водорода во вне функциональных группах. Следовательно, металлы могут входить как в катионную, так и в анионную части молекул гумусовых кислот. Использование логарифмической формулы Фрейндлиха для описания процессов адсорбции тяжелых металлов почвами также позволяет обнаружить на изотермах наличие двух и более контрастно адсорбции.</w:t>
      </w:r>
    </w:p>
    <w:p w14:paraId="702A41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03181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263AB926" w14:textId="20BA13ED" w:rsidR="00000000" w:rsidRDefault="00F9011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6DDE976" wp14:editId="5C28B524">
            <wp:extent cx="5044440" cy="297942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4440" cy="2979420"/>
                    </a:xfrm>
                    <a:prstGeom prst="rect">
                      <a:avLst/>
                    </a:prstGeom>
                    <a:noFill/>
                    <a:ln>
                      <a:noFill/>
                    </a:ln>
                  </pic:spPr>
                </pic:pic>
              </a:graphicData>
            </a:graphic>
          </wp:inline>
        </w:drawing>
      </w:r>
    </w:p>
    <w:p w14:paraId="35DDAD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Рисунок 2 - Изотермы адсорбции свинца дерново-подзолистой почв</w:t>
      </w:r>
    </w:p>
    <w:p w14:paraId="14574C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2225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Разделение изотерм адсорбции на два участка с энергетической гетерогенностью адсорбционных мест и указывает на наличие в почве двух и более групп обменных центров. Наличие нескольких групп обменных центров, обладающих не одинаковым сродством к тяжелым металлам, свидетельствует о, что часть катионов адсорбируется почвой специфически, а часть неспецефически. На эти процессы влияет кислотность почвы. При низких концентрациях заполняются места с более высокой энергией связи, т. е имеет место специфическая адсорбция. С увеличением концентрации тяжелых металлов происходит неспецифическая адсорбция, заполняются места с более низкой энергией связи.</w:t>
      </w:r>
    </w:p>
    <w:p w14:paraId="5CFE03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Содержание гумуса в большей степени влияет на специфическую адсорбцию, чем кислотность. Так с увеличением содержания в почве гумуса с 1.5 - 3.3% наблюдается увеличение специфической адсорбции кадмия и цинка на 7 - 9%,а свинца на 12%. При этом доля максимального количества специфически поглощенных тяжелых металлов от ЕКО снижается. </w:t>
      </w:r>
      <w:r>
        <w:rPr>
          <w:rFonts w:ascii="Times New Roman CYR" w:hAnsi="Times New Roman CYR" w:cs="Times New Roman CYR"/>
          <w:kern w:val="0"/>
          <w:sz w:val="28"/>
          <w:szCs w:val="28"/>
        </w:rPr>
        <w:lastRenderedPageBreak/>
        <w:t>Установлено, что специфическая адсорбция металлов в большей степени зависит от генетических особенностей почвы (гранулометрического и минерального состава, содержания полуторных гидроксидов железа, алюминия и марганца, чем от их агрохимических свойств. Было доказано, что максимальное количество элементов, адсорбируемых специфически, изменяется в ряду Pb2+, Zn2+, Cd2+ [3].</w:t>
      </w:r>
    </w:p>
    <w:p w14:paraId="17CA71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Свинец по сравнению с другими металлами в больших количествах поглощается и удерживается почвой. Отношение максимальной сорбции свинца к ЕКО находится в пределах 31 - 58%,в то время как для цинка и кадмия такой показатель равен 25 - 46 и 17 - 32% соответственно. Этим и объясняется малая подвижность в почве свинца. При этом с уменьшением кислотности и увеличением содержании гумуса максимальное количество поглощенных металлов, отнесенное к общему количеству ионов в ППК, способных к обмену, снижается, что может быть связано с возрастанием конкуренции за адсорбционные места в ППК.</w:t>
      </w:r>
    </w:p>
    <w:p w14:paraId="4C6CB4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Показано что поглощение свинца черноземом, серой-лесной и дерново-подзолистой почвой при рН 4.5 и 6 сопровождается вытеснением в раствор не только иона кальция, но и иона водорода, и представляет собой не бинарный, а трехкатионный ионный обмен. Этот обмен является обратимым процессом. При рН 6 и выше вступает в действие и начинает превалировать другой механизм поглощения Pb2+ осаждение карбоната свинца. Поведение Pb2+ в почвах и его доступность растениям зависит от того, насколько прочно он связан и насколько легко может быть высвобожден в раствор под влиянием тех или иных воздействий [5].</w:t>
      </w:r>
    </w:p>
    <w:p w14:paraId="0154EA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1C2F6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 Влияние соединений свинца на организм человека</w:t>
      </w:r>
    </w:p>
    <w:p w14:paraId="1F8115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13FE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Свинец - это тяжелый металл, токсичен, токсичная доза 1-3 г,</w:t>
      </w:r>
    </w:p>
    <w:p w14:paraId="381441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смертельная доза для человека 10 г, является канцерогеном. Попадает в</w:t>
      </w:r>
    </w:p>
    <w:p w14:paraId="7C1805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организм через пищевод, дыхательные пути, кожу, накапливается в организме и трудно оттуда выводится, при постоянной работе с ним будут появляться различные заболевания, связанные с токсичностью свинца.</w:t>
      </w:r>
    </w:p>
    <w:p w14:paraId="4096C8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 всем мире вредное воздействие свинца на здоровье человека в результате свинцового загрязнения окружающей среды, повышенных концентраций свинца на рабочем месте и в быту обходится человечеству невероятно дорого, вызывая распространение свинцовой интоксикации среди взрослых и детей, впоследствии долгие годы страдающих от тяжелых хронических заболеваний. Только в тех странах, где в силу специфических обстоятельств или действующего законодательства применение свинецсодержащих материалов было ограничено или находилось под контролем, проблема свинцового отравления может рассматриваться как имеющая второстепенное значение [7].</w:t>
      </w:r>
    </w:p>
    <w:p w14:paraId="73A606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Из-за широкого распространения свинцового загрязнения практически все население подвергается риску его воздействия независимо от социально-экономического статуса, расовой и этнической принадлежности или места проживания (сельская местность, город или пригород). Однако большинство случаев свинцового отравления остаются нераспознанными, поскольку при низких дозах интоксикации явные симптомы проявляются только у небольшого процента пострадавших. За исключением высоких доз свинцовое отравление очень трудно или невозможно диагностировать без данных анализов крови. Дети дошкольного возраста наиболее восприимчивы к вредному воздействию свинца, поскольку их нервная система находится в стадии формирования [8].</w:t>
      </w:r>
    </w:p>
    <w:p w14:paraId="435752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Согласно современным медицинским представлениям, в организме ребенка вполне допустимо содержание свинца до 10 микрограммов на каждый децилитр крови. Даже при низких дозах свинцовое отравление вызывает </w:t>
      </w:r>
      <w:r>
        <w:rPr>
          <w:rFonts w:ascii="Times New Roman CYR" w:hAnsi="Times New Roman CYR" w:cs="Times New Roman CYR"/>
          <w:kern w:val="0"/>
          <w:sz w:val="28"/>
          <w:szCs w:val="28"/>
        </w:rPr>
        <w:lastRenderedPageBreak/>
        <w:t>снижение интеллектуального развития, внимания и умения сосредоточиться, отставание в чтении, ведет к развитию агрессивности, гиперактивности и другим проблемам в поведении ребенка. Эти отклонения в развитии могут носить длительный характер и быть необратимыми. Низкий вес при рождении, отставание в росте и потеря слуха также являются результатом свинцового отравления. Высокие дозы интоксикации ведут к умственной отсталости, вызывают кому, конвульсии и смерть. Вредное воздействие свинца на здоровье взрослых проявляется в повышении кровяного давления, нарушении деятельности нервной системы, печени, почек, снижении репродуктивной функции. Большая часть свинца поступает в организм человека с продуктами питания, а также с водой и пылевыми аэрозолями.</w:t>
      </w:r>
    </w:p>
    <w:p w14:paraId="0808BB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Наиболее опасным является попадание свинца с пылевыми аэрозолями от загрязненных почв. Свинец, попадая в организм, через несколько минут проникает в клетки крови и быстро связывается с эритроцитами, в которых содержание свинца в 16 раз выше, чем в плазме крови. Депонируется в костной системе, включая зубы. Свинец является конкурентным биометаллом по отношению к </w:t>
      </w:r>
      <w:r>
        <w:rPr>
          <w:rFonts w:ascii="Times New Roman CYR" w:hAnsi="Times New Roman CYR" w:cs="Times New Roman CYR"/>
          <w:kern w:val="0"/>
          <w:sz w:val="28"/>
          <w:szCs w:val="28"/>
          <w:lang w:val="en-US"/>
        </w:rPr>
        <w:t>Ca</w:t>
      </w:r>
      <w:r>
        <w:rPr>
          <w:rFonts w:ascii="Times New Roman CYR" w:hAnsi="Times New Roman CYR" w:cs="Times New Roman CYR"/>
          <w:kern w:val="0"/>
          <w:sz w:val="28"/>
          <w:szCs w:val="28"/>
        </w:rPr>
        <w:t xml:space="preserve"> и может его вытеснить из избирательных мест связывания с фосфатными, карбоксильными и сульфатными лигандами в тканях и на клеточных мембранах, реализуя его повреждающее действие через нарушение пассивного транспорта кальция [6].</w:t>
      </w:r>
    </w:p>
    <w:p w14:paraId="51FDE6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Поражает все внутренние органы, в том числе почки. На фоне длительного контакта со свинцом развиваются нарушения функционального состояния почек, заканчивающиеся необратимой хронической нефропатией. Повышенные уровни свинца в крови представляют особую опасность для беременных женщин, поскольку свинец свободно проникает через плаценту, оказывая отравляющее действие на плод. Свинец, накопленный в костных тканях еще в детском возрасте, выделяется обратно в кровь во время беременности, угрожая здоровью матери и ребенка.</w:t>
      </w:r>
    </w:p>
    <w:p w14:paraId="146D71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 медицине известно, что свинец негативно влияет на нервную систему человека и, в частности, на поведение, однако вред, нанесенный этим металлом, легко может быть исправлен. В кровь свинец попадает через дыхательные пути или же через слизистую оболочку рта.</w:t>
      </w:r>
    </w:p>
    <w:p w14:paraId="45B6A3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Несмотря на то, что применение медикаментозного метода лечения (так называемой хелатотерапии) способствует выведению свинца из организма, такие препараты дороги, имеют побочные эффекты, а само лечение - болезненно.</w:t>
      </w:r>
    </w:p>
    <w:p w14:paraId="0AA93D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того, они применимы только к пациентам с высокими дозами интоксикакации и не вылечивают неврологические заболевания, развившиеся в результате предшествующего отравления свинцом. Единственно надежным лекарством против свинцовой интоксикации является её предотвращение - контроль источников свинцового загрязнения до того, как они произвели свое разрушительное действие на здоровье человека [8].</w:t>
      </w:r>
    </w:p>
    <w:p w14:paraId="199735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FE51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 Методы обнаружения и количественного определения соединений свинца в природных объектах</w:t>
      </w:r>
    </w:p>
    <w:p w14:paraId="2F9000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7070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нахождения соединений тяжелых металлов, в частности соединений свинца, используют следующие методы определения: физико-химические методы (масс-спектрометрия, фотометрия, атомно-адсорбционный метод и др.), электро-химические методы (кулонометрия, потенциометрия, вольтамперометрия и др.).</w:t>
      </w:r>
    </w:p>
    <w:p w14:paraId="6EA98E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Масс-спектрометрия. Масс-спектрометрия (масс-спектроскопия, масс-спектрография, масс-спектральный анализ, масс-спектрометрический анализ) метод исследования вещества путём определения отношения массы к заряду (качества) и количества заряженных частиц, образующихся при том или ином процессе воздействия на вещество [11].</w:t>
      </w:r>
    </w:p>
    <w:p w14:paraId="79D5C3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Атомно-абсорбционный метод. Атомно-абсорбционный спектральный метод анализа среди новейших физико-химических методов исследования нужно назвать атомно-абсорбционный анализ. Этим методом можно производить количественное определение большей части элементов периодической системы в различных объектах внешней среды, не прибегая при анализе микро- и макроэлементов к предварительному разделению определяемых элементов или к отделению мешающих примесей, что влечет за собой увеличение погрешности определения и увеличение его трудоемкости. Атомно-абсорбционный спектральный анализ характеризуется высокой избирательностью. Он отличается от длительного и кропотливого химического метода быстротой определения, более простым приготовлением образцов, точностью и чувствительностью. Принцип атомно-абсорбционного спектрального анализа основан на способности атомов металлов поглощать свет характеристических длин волн. Характеристические длины волн составляют линейчатый эмиссионный спектр, определенный для каждого элемента. Свет от источника резонансного излучения поглощается свободными атомами, проходя через атомный пар, образованный путем испарения и диссоциации соединения определяемых элементов, вводимых в пламя в виде аэрозоля.</w:t>
      </w:r>
    </w:p>
    <w:p w14:paraId="18BBB8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Наибольшее распространение получил пламенный способ испарения и атомизации соединений определяемых элементов, хотя в принципе, с успехом могут быть использованы и другие способы. Например: испарение пробы из графитовой кюветы, нагретой до высокой температуры, испарение и создание свободных атомов при помощи квантового или плазменного генератора, а также распыление и атомизация исследуемой пробы в полом катоде. Все способы получения поглощающих слоев можно отнести к двум группам: равновесным и импульсным. По чувствительности импульсные методы (графитовая кювета, импульсная лампа, лазерный луч) должны превосходить равновесные (пламя, разряд в полом катоде, печь Кинга), т.к. для достижения и поддержания равновесной концентрации элемента в поглощающей ячейке требуется значительно большее количество вещества по сравнению с тем, которое сосредоточено в поглощающей ячейке в каждый момент. При импульсном испарении пробы для создания концентрации паров в ячейке, равной равновесной, потребовалось бы в 3·104 раза меньшее количество веществ, чем в пламени. Но техника регистрации спектров поглощения при импульсном испарении сложнее, чем для равновесных методов, так как в первом случае необходимо регистрировать быстро изменяющийся сигнал, а во втором - постоянный. Поглощение света атомным паром подчиняется закону Бугера-Ламберта-Бера.</w:t>
      </w:r>
    </w:p>
    <w:p w14:paraId="749F6D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Ввиду того, что атомное поглощение соответствует переходам атомов из более низких в более высокие энергетические состояния, величина поглощения зависит от заселенности нижнего уровня, соответствующего наблюдаемой линии. Заселенность возбужденных уровней незначительна по сравнению с заселенностью нижнего уровня, поэтому наибольшее поглощение наблюдается для линий, соответствующих поглощательным переходам с нижнего невозбужденного уровня. Эти линии в атомно-абсорбционном анализе называют резонансными.</w:t>
      </w:r>
    </w:p>
    <w:p w14:paraId="2343B4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многих элементов силы осцилляторов спектральных линий измерены, поэтому выбор наиболее чувствительных линий не представляет труда. Когда величины сил осцилляторов в спектре элемента неизвестны, можно экспериментально выбрать наиболее чувствительные линии. В результате экспериментальных исследований установлено, что наиболее чувствительные в поглощении линии часто не совпадают с наиболее интенсивными атомными линиями элементов в эмиссионном спектральном анализе, в том числе и в пламенной фотометрии. Объясняется это тем, что интенсивность излучения резонансных линий зависит от участка спектра. Изменение интенсивности при температурах пламени или дугового разряда практически обусловлено экспоненциальным множителем, определяющим участок спектра, поэтому интенсивность излучения быстро падает в короткую область спектра.</w:t>
      </w:r>
    </w:p>
    <w:p w14:paraId="77781A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эмиссионный спектр имеет иное распределение резонансных линий по интенсивности, чем спектр поглощения. Более интенсивными в испускании являются резонансные линии с большей длинной волны; более чувствительные в поглощении линии лежат в коротковолновой стороне от наиболее интенсивной в испускании резонансной линии (или совпадают с ней). Для большинства элементов, кроме газов, галогенов и некоторых неметаллов, наиболее интенсивные резонансные линии расположены в видимой и ультрафиолетовой областях спектра, легко доступных для измерении [13].</w:t>
      </w:r>
    </w:p>
    <w:p w14:paraId="559BD5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Фотометрический метод. Общие положения. Метод анализа, основанный на сравнении качественного и количественного изменения световых потоков при их прохождении через исследуемый и стандартный растворы, называется фотометрическим. Обычно в ходе анализа измеряют ослабление светового потока, которое происходит вследствие избирательного поглощения света определяемым веществом. В зависимости от используемой аппаратуры в</w:t>
      </w:r>
    </w:p>
    <w:p w14:paraId="5664A3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фотометрическом анализе различают:</w:t>
      </w:r>
    </w:p>
    <w:p w14:paraId="6DDAD9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спектрофотометрический метод - анализ по поглощению монохроматического света (все волны имеют одинаковую длину волны);</w:t>
      </w:r>
    </w:p>
    <w:p w14:paraId="7FDBE8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фотоколориметрический метод - анализ по поглощению полихроматического света.</w:t>
      </w:r>
    </w:p>
    <w:p w14:paraId="3284AF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Сущность метода. Определяемый компонент при помощи химической реакции переводят в окрашенное соединение, после чего каким-либо инструментальным или визуальным способом измеряют интенсивность окраски полученного раствора. Таким образом, в колориметрии играют существенную роль, во-первых, правильно выбранные условия протекания химической реакции по переводу определяемого компонента в окрашенный раствор и, во-вторых, знание оптических свойств окрашенных растворов, что позволяет правильно выбрать способ измерения интенсивности окраски [11].</w:t>
      </w:r>
    </w:p>
    <w:p w14:paraId="273BB0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Кулонометрия.В основе кулонометрических методов лежат законы электролиза Фарадея. Законы Фарадея формулируются следующим образом.</w:t>
      </w:r>
    </w:p>
    <w:p w14:paraId="37EA57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электропревращенного (восстановленного или окисленного) в процессе электролиза вещества прямо пропорционально количеству прошедшего электричества.</w:t>
      </w:r>
    </w:p>
    <w:p w14:paraId="3425D0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Массы различных веществ, выделенных или растворенных при прохождении одного и того же количества электричества, пропорциональны их электрохимическим эквивалентам.</w:t>
      </w:r>
    </w:p>
    <w:p w14:paraId="29BF1F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Электрохимический эквивалент - это масса вещества, выделившегося на электроде (или растворившегося с электрода) в процессе электролиза при протекании единицы количества электричества, т. е. 1 Кл.</w:t>
      </w:r>
    </w:p>
    <w:p w14:paraId="242256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Суть законов Фарадея заключается в том, что для выделения одного моля эквивалента любого вещества в процессе электролиза необходимо затратить одно и то же количество электричества, называемое числом Фарадея F=96500 Кл/моль</w:t>
      </w:r>
    </w:p>
    <w:p w14:paraId="545F22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(Q / F ) * M / n , </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(4)</w:t>
      </w:r>
    </w:p>
    <w:p w14:paraId="60AA74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382E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Q - количество электричества (Кл), необходимое для выделения на электроде m граммов вещества с молярной массой эквивалента, равной М / n (М - молярная масса вещества; n - число электронов, участвующих в электродной реакции).</w:t>
      </w:r>
    </w:p>
    <w:p w14:paraId="3449AA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I * t , </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(5)</w:t>
      </w:r>
    </w:p>
    <w:p w14:paraId="09250E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A94C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I - сила тока, А (ампер); t - время электролиза, с (секунда).</w:t>
      </w:r>
    </w:p>
    <w:p w14:paraId="12EA2B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Ясно, что применение этой формулы требует, чтобы электролиз протекал со 100%-ной эффективностью тока (или со 100%-ным выходом по току), что возможно только в отсутствие конкурирующих реакций.</w:t>
      </w:r>
    </w:p>
    <w:p w14:paraId="3C8F6C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Различают два основных вида кулонометрических определений - прямую кулонометрию и кулонометрическое титрование. В методах прямой кулонометрии электрохимическому превращению непосредственно в кулонометрической ячейке подвергается анализируемое вещество. В методе кулонометрического титрования электролизу подвергается вспомогательное вещество, а далее продукт электролиза - титрант - реагирует с определяемым веществом. Кулонометрические определения могут проводиться при постоянном потенциале (потенциостатическая кулонометрия) и постоянной силе тока (амперостатическая кулонометрия). В прямой кулонометрии широко применяют потенциостатические методы. Массу определяемого вещества рассчитывают по приведенной выше формуле.</w:t>
      </w:r>
    </w:p>
    <w:p w14:paraId="654153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методе кулонометрического титрования используются установки с постоянной силой тока. Содержание определяемого вещества рассчитывают по количеству электричества, израсходованного на генерацию необходимого для реакции с анализируемым веществом количества титранта. Кулонометрическое титрование в значительной степени сохраняет аналогию с другими титриметрическими методами. Основное различие относится к приготовлению титранта. В обычных титриметрических методах его заранее готовят по точной навеске или стандартизуют по специальным установочным веществам, а в методах кулонометрического титрования титрант генерируется электрохимическим методом.</w:t>
      </w:r>
    </w:p>
    <w:p w14:paraId="16254F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Определение точки эквивалентности можно проводить потенциометрическим, амперометрическим, спектрофотометрическим и другими методами.</w:t>
      </w:r>
    </w:p>
    <w:p w14:paraId="3060C5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кулонометрическом титровании используются химические реакции различных типов: кислотно-основные, окислительно-восстановительные, комплексообразования и др. Различные восстановители (</w:t>
      </w:r>
      <w:r>
        <w:rPr>
          <w:rFonts w:ascii="Times New Roman CYR" w:hAnsi="Times New Roman CYR" w:cs="Times New Roman CYR"/>
          <w:kern w:val="0"/>
          <w:sz w:val="28"/>
          <w:szCs w:val="28"/>
          <w:lang w:val="en-US"/>
        </w:rPr>
        <w:t>Pb</w:t>
      </w:r>
      <w:r>
        <w:rPr>
          <w:rFonts w:ascii="Times New Roman CYR" w:hAnsi="Times New Roman CYR" w:cs="Times New Roman CYR"/>
          <w:kern w:val="0"/>
          <w:sz w:val="28"/>
          <w:szCs w:val="28"/>
        </w:rPr>
        <w:t>2+, Sn2+ , Sb3+, As3+ и др.) могут быть оттитрованы, например, перманганатом, который легко генерируется из сульфата марганца в ячейке с платиновым анодом. При анодном растворении хрома в серной кислоте получается дихромат-ион, который также может быть использован для этого титрования. В кулонометрическом титровании широко применяют также свободный бром, генерируемый на платиновом аноде из бромида калия в соляной кислоте.</w:t>
      </w:r>
    </w:p>
    <w:p w14:paraId="0B95AD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Установка для кулонометрического титрования при постоянной силе тока содержит следующие основные узлы: 1) источник постоянного тока; 2) устройство для определения количества электричества; 3) электрическую ячейку с генераторным электродом; 4) индикаторную систему для определения конца титрования; 5) хронометр для определения продолжительности электролиза.</w:t>
      </w:r>
    </w:p>
    <w:p w14:paraId="081AB0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Индикаторная система служит для индикации конечной точки титрования (к.т.т.). Наиболее часто для этой цели используют амперометрический и потенциометрический методы. В ячейку вводят индикаторные электроды: два платиновых электрода (при амперометрической индикации) или платиновый и каломельный электроды (при потенциометрической индикации). Силу тока или разность потенциалов измеряют соответствующими приборами, входящими в комплект установки для титрования (блок индикации). Иногда для определения к.т.т. используют фотометрический метод, помещая ячейку в кюветное отделение фотоэлектроколориметра и измеряя светопоглощение в ходе титрования. В отдельных случаях конец титрования устанавливают визуально, например, по появлению окраски раствора, вызванной избытком титранта. Приборостроительная промышленность серийно выпускает кулонометрические титраторы, в которых для индикации конечной точки титрования используется амперометрический или потенциометрический методы [12].</w:t>
      </w:r>
    </w:p>
    <w:p w14:paraId="02F857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Патенциометрия. Данный метод, основанный на измерении электродвижущих сил (ЭДС) обратимых гальванических элементов, используют для определения содержания веществ в растворе и измерения различных физико-химических величин.</w:t>
      </w:r>
    </w:p>
    <w:p w14:paraId="0C42B3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потенциометрии обычно применяют гальванический элемент, включающий два электрода, которые могут быть погружены в один и тот же раствор (элемент без переноса) или в два различных по составу раствора, имеющих между собой жидкостной контакт (цепь с переносом).</w:t>
      </w:r>
    </w:p>
    <w:p w14:paraId="75FA9B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Первый электрод - это электрод, потенциал которого зависит от активности (концентрации) определяемых ионов в растворе, называется индикаторным.</w:t>
      </w:r>
    </w:p>
    <w:p w14:paraId="2A3C82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измерения потенциала индикаторного электрода в раствор погружают второй электрод, потенциал которого не зависит от концентрации определяемых ионов. Такой электрод называется электродом сравнения. Величину ЭДС можно рассчитать по разности потенциалов этих электродов.</w:t>
      </w:r>
    </w:p>
    <w:p w14:paraId="6E67F2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Зависимость величины электродного потенциала от активности ионов в растворе выражается уравнением Нернста:</w:t>
      </w:r>
    </w:p>
    <w:p w14:paraId="24C065E1" w14:textId="636D0889"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E = E0 +</w:t>
      </w:r>
      <w:r w:rsidR="00F90113">
        <w:rPr>
          <w:rFonts w:ascii="Microsoft Sans Serif" w:hAnsi="Microsoft Sans Serif" w:cs="Microsoft Sans Serif"/>
          <w:noProof/>
          <w:kern w:val="0"/>
          <w:sz w:val="17"/>
          <w:szCs w:val="17"/>
        </w:rPr>
        <w:drawing>
          <wp:inline distT="0" distB="0" distL="0" distR="0" wp14:anchorId="4A523067" wp14:editId="312494CB">
            <wp:extent cx="213360" cy="51816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 cy="518160"/>
                    </a:xfrm>
                    <a:prstGeom prst="rect">
                      <a:avLst/>
                    </a:prstGeom>
                    <a:noFill/>
                    <a:ln>
                      <a:noFill/>
                    </a:ln>
                  </pic:spPr>
                </pic:pic>
              </a:graphicData>
            </a:graphic>
          </wp:inline>
        </w:drawing>
      </w:r>
      <w:r>
        <w:rPr>
          <w:rFonts w:ascii="Times New Roman CYR" w:hAnsi="Times New Roman CYR" w:cs="Times New Roman CYR"/>
          <w:kern w:val="0"/>
          <w:sz w:val="28"/>
          <w:szCs w:val="28"/>
          <w:lang w:val="en-US"/>
        </w:rPr>
        <w:t xml:space="preserve"> ln </w:t>
      </w:r>
      <w:r w:rsidR="00F90113">
        <w:rPr>
          <w:rFonts w:ascii="Microsoft Sans Serif" w:hAnsi="Microsoft Sans Serif" w:cs="Microsoft Sans Serif"/>
          <w:noProof/>
          <w:kern w:val="0"/>
          <w:sz w:val="17"/>
          <w:szCs w:val="17"/>
        </w:rPr>
        <w:drawing>
          <wp:inline distT="0" distB="0" distL="0" distR="0" wp14:anchorId="4E17C5C5" wp14:editId="55B4D701">
            <wp:extent cx="76200" cy="49530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 cy="495300"/>
                    </a:xfrm>
                    <a:prstGeom prst="rect">
                      <a:avLst/>
                    </a:prstGeom>
                    <a:noFill/>
                    <a:ln>
                      <a:noFill/>
                    </a:ln>
                  </pic:spPr>
                </pic:pic>
              </a:graphicData>
            </a:graphic>
          </wp:inline>
        </w:drawing>
      </w:r>
    </w:p>
    <w:p w14:paraId="041141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117A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Е0 - стандартный электродный потенциал; R - универсальная газовая постоянная (R = 8.314 Дж/моль*К); Т - абсолютная температура; n - число электронов, участвующих в реакции; c - концентрация, моль/дм3; f - коэффициент активности.</w:t>
      </w:r>
    </w:p>
    <w:p w14:paraId="2AA820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 как в потенциометрии используются разбавленные растворы, где f=1 , то активность (а) заменяют на концентрацию (с). Если перейти от ln к lg, то при T = 298K (25 °С) получим:</w:t>
      </w:r>
    </w:p>
    <w:p w14:paraId="0EEF6610" w14:textId="2EDA261E"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 +</w:t>
      </w:r>
      <w:r w:rsidR="00F90113">
        <w:rPr>
          <w:rFonts w:ascii="Microsoft Sans Serif" w:hAnsi="Microsoft Sans Serif" w:cs="Microsoft Sans Serif"/>
          <w:noProof/>
          <w:kern w:val="0"/>
          <w:sz w:val="17"/>
          <w:szCs w:val="17"/>
        </w:rPr>
        <w:drawing>
          <wp:inline distT="0" distB="0" distL="0" distR="0" wp14:anchorId="010AF50E" wp14:editId="1F162019">
            <wp:extent cx="350520" cy="51816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520" cy="51816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lg</w:t>
      </w:r>
      <w:r>
        <w:rPr>
          <w:rFonts w:ascii="Times New Roman CYR" w:hAnsi="Times New Roman CYR" w:cs="Times New Roman CYR"/>
          <w:kern w:val="0"/>
          <w:sz w:val="28"/>
          <w:szCs w:val="28"/>
        </w:rPr>
        <w:t xml:space="preserve"> </w:t>
      </w:r>
      <w:r w:rsidR="00F90113">
        <w:rPr>
          <w:rFonts w:ascii="Microsoft Sans Serif" w:hAnsi="Microsoft Sans Serif" w:cs="Microsoft Sans Serif"/>
          <w:noProof/>
          <w:kern w:val="0"/>
          <w:sz w:val="17"/>
          <w:szCs w:val="17"/>
        </w:rPr>
        <w:drawing>
          <wp:inline distT="0" distB="0" distL="0" distR="0" wp14:anchorId="1C67CF70" wp14:editId="3D0156C7">
            <wp:extent cx="76200" cy="49530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 cy="49530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p>
    <w:p w14:paraId="112B1D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0825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Вольтамперометрия. Метод вольтамперометрия основан на изучении зависимостей силы тока от напряжения между электродами, называемых вольт- амперными кривыми. Для их регистрации анализируемый раствор помещают в ячейку, состоящую из рабочего электрода (ртутного, угольного, платинового, золотого) и электрода сравнения (каломельного, хлоридсеребряного). Анализируемый раствор должен содержать инертный фоновый электролит. На электроды налагают напряжение, изменяющееся во времени (как правило, линейно). Величину этого напряжения (потенциал рабочего электрода, измеренный относительно электрода сравнения) откладывают по оси абсцисс, обычно направленной в сторону отрицательных потенциалов. Вдоль оси ординат откладывают силу тока, причем катодные токи соответствуют верхней, а анодные - нижней половине оси ординат Такое «обращенное» направление осей координат обусловлено тем, что основным рабочим электродом является ртутный, рабочая область которого находится главным образом при отрицательных потенциалах [12].</w:t>
      </w:r>
    </w:p>
    <w:p w14:paraId="5985C6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2A34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A2BBD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Заключение</w:t>
      </w:r>
    </w:p>
    <w:p w14:paraId="7B2221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64C9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Тяжелые металлы - это элементы периодической системы химических элементов Д.И. Менделеева, с относительной молекулярной массой больше 50.</w:t>
      </w:r>
    </w:p>
    <w:p w14:paraId="208FA8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Источники поступления тяжелых металлов делятся на природные (выветривание горных пород и минералов, эрозийные процессы, вулканическая деятельность) и техногенные (добыча и переработка полезных ископаемых, сжигание топлива, движение транспорта, деятельность сельского хозяйства).</w:t>
      </w:r>
    </w:p>
    <w:p w14:paraId="424A6F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Соединения свинца вовлекаются в миграционные цепи. Аккумулируются в виде оксидов, гидроксидов, солей свинца (</w:t>
      </w:r>
      <w:r>
        <w:rPr>
          <w:rFonts w:ascii="Times New Roman CYR" w:hAnsi="Times New Roman CYR" w:cs="Times New Roman CYR"/>
          <w:kern w:val="0"/>
          <w:sz w:val="28"/>
          <w:szCs w:val="28"/>
          <w:lang w:val="en-US"/>
        </w:rPr>
        <w:t>PbO</w:t>
      </w:r>
      <w:r>
        <w:rPr>
          <w:rFonts w:ascii="Times New Roman CYR" w:hAnsi="Times New Roman CYR" w:cs="Times New Roman CYR"/>
          <w:kern w:val="0"/>
          <w:sz w:val="28"/>
          <w:szCs w:val="28"/>
        </w:rPr>
        <w:t xml:space="preserve">, Pb6O2 ,Pb3O4, </w:t>
      </w:r>
      <w:r>
        <w:rPr>
          <w:rFonts w:ascii="Times New Roman CYR" w:hAnsi="Times New Roman CYR" w:cs="Times New Roman CYR"/>
          <w:kern w:val="0"/>
          <w:sz w:val="28"/>
          <w:szCs w:val="28"/>
          <w:lang w:val="en-US"/>
        </w:rPr>
        <w:t>PbOH</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PbCO</w:t>
      </w:r>
      <w:r>
        <w:rPr>
          <w:rFonts w:ascii="Times New Roman CYR" w:hAnsi="Times New Roman CYR" w:cs="Times New Roman CYR"/>
          <w:kern w:val="0"/>
          <w:sz w:val="28"/>
          <w:szCs w:val="28"/>
        </w:rPr>
        <w:t xml:space="preserve">3, </w:t>
      </w:r>
      <w:r>
        <w:rPr>
          <w:rFonts w:ascii="Times New Roman CYR" w:hAnsi="Times New Roman CYR" w:cs="Times New Roman CYR"/>
          <w:kern w:val="0"/>
          <w:sz w:val="28"/>
          <w:szCs w:val="28"/>
          <w:lang w:val="en-US"/>
        </w:rPr>
        <w:t>PbSO</w:t>
      </w:r>
      <w:r>
        <w:rPr>
          <w:rFonts w:ascii="Times New Roman CYR" w:hAnsi="Times New Roman CYR" w:cs="Times New Roman CYR"/>
          <w:kern w:val="0"/>
          <w:sz w:val="28"/>
          <w:szCs w:val="28"/>
        </w:rPr>
        <w:t>4), гидроксокомплексов ([Pb4(OH)4]4+, [Pb2(OH)]3+, [Pb3(OH)4]2+, [Pb(OH)]+) в почве и растениях.</w:t>
      </w:r>
    </w:p>
    <w:p w14:paraId="3CA164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Гуминовые и фульвокислоты обладают большой способностью связываться с ионами </w:t>
      </w:r>
      <w:r>
        <w:rPr>
          <w:rFonts w:ascii="Times New Roman CYR" w:hAnsi="Times New Roman CYR" w:cs="Times New Roman CYR"/>
          <w:kern w:val="0"/>
          <w:sz w:val="28"/>
          <w:szCs w:val="28"/>
          <w:lang w:val="en-US"/>
        </w:rPr>
        <w:t>Pb</w:t>
      </w:r>
      <w:r>
        <w:rPr>
          <w:rFonts w:ascii="Times New Roman CYR" w:hAnsi="Times New Roman CYR" w:cs="Times New Roman CYR"/>
          <w:kern w:val="0"/>
          <w:sz w:val="28"/>
          <w:szCs w:val="28"/>
        </w:rPr>
        <w:t>2+, образуя комплексные соединения и оказывают негативное влияние на биоорганические системы.</w:t>
      </w:r>
    </w:p>
    <w:p w14:paraId="169DC7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Свинец способен оказывать токсическое воздействие на почву: ухудшая свойства почвы, угнетение почвенной биоты; отравлять растения: замедляя рост, развитие, вызывать болезни.</w:t>
      </w:r>
    </w:p>
    <w:p w14:paraId="3E0806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Изучение поглощения почвами и растениями ионов тяжелых металлов, в частности свинца является важной актуальной проблемой, так как наблюдается увеличение антропогенной нагрузки на окружающую среду, что может привести к необратимым изменениям ее экологического состояния. В первую очередь происходит накопление тяжелых металлов, которые фиксируются в почвенно-поглощающем комплексе, в результате чего они могут поступать в организм человека. Важно изучать протолитические свойства почв, поскольку благодаря этому можно определить количество связанных и свободных ионов определяемых тяжелых металлов.</w:t>
      </w:r>
    </w:p>
    <w:p w14:paraId="54E797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539C07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Библиографический список</w:t>
      </w:r>
    </w:p>
    <w:p w14:paraId="23CFF1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8107B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Башкин, В.Н. Экология города / В.Н. Башкин, Н.С. Касимов; Московский государственный университет им. М. В. Ломоносова, Институт экологии города, Институт фундаментальных проблем биологии РАН. - Москва: Научный Мир, 2004. - 647 с.</w:t>
      </w:r>
    </w:p>
    <w:p w14:paraId="2011993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Серегин, И.В. Распределение тяжелых металлов в растениях и их действие на рост / И.В. Серёгин; Московский Государственный Университет им. М.В. Ломоносова, биологический факультет. - Москва: Научный мир, 2009. - 53 с.</w:t>
      </w:r>
    </w:p>
    <w:p w14:paraId="5E2F097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Кабата - Пендиас, А. Микроэлементы в почвах и растениях / А. Кабата - Пендиас, Х. Пендиас. - М.: Мир, 1989. - 439 с.</w:t>
      </w:r>
    </w:p>
    <w:p w14:paraId="4D8B5FE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Титов, А.Ф. Устойчивость растений к тяжелым металлам / А.Ф. Титов, В.В. Таланова, Н.М. Казнина; под ред. Н.Н. Немова Институт биологии КарНЦ РАН. Петрозаводск: Карельский научный центр РАН, 2007. - 172 с.</w:t>
      </w:r>
    </w:p>
    <w:p w14:paraId="76EA8E1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Орлов, Д.С. Химия и охрана почв / Д. С. Орлов. - М.: Московский государственный университет им. М.В Ломоносова, 2005. - 558 с.</w:t>
      </w:r>
    </w:p>
    <w:p w14:paraId="1F5AB1A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Корбанова, А. И., Сорокина Н.С., Молодкина Н.Н. и соавт. Свинец и его действие на организм. // Мед. труда и пром. экология. - 2001, № 5,</w:t>
      </w:r>
    </w:p>
    <w:p w14:paraId="755EE3B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29-34.</w:t>
      </w:r>
    </w:p>
    <w:p w14:paraId="54536B6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Ливанов, П.А. Свинцовая опасность и здоровье населения / П.А. Ливанов // Рос. Сем. Врач. - 1999, № 2, с. 18-26.</w:t>
      </w:r>
    </w:p>
    <w:p w14:paraId="1F4B383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Изомеров, И.Ф. К проблеме воздействия свинца на организм человека / И.Ф. Изомеров // Мед. труда и пром. экология. - 1998, № 2, С. 1-4.</w:t>
      </w:r>
    </w:p>
    <w:p w14:paraId="23B75C0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Полевой, В.В. Физиология растений: Учеб. Для биол. спец. Вузов / В.В Полевой. - М.: Высш. шк., 1989. - 464 с.</w:t>
      </w:r>
    </w:p>
    <w:p w14:paraId="4C51990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Алексеев, Ю. В. Тяжёлые металлы в почвах и растениях / Ю.В. Алексеев. Л.: Агропромиздат. Ленинградское отделение, 1987. - 142 с.</w:t>
      </w:r>
    </w:p>
    <w:p w14:paraId="7167CB3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Воробьёва, Е.В. Большой практикум: Практ. пособие по спецкурсу для студентов биологического факультета / авт.-сост. Воробьева Е.В., Макаренко Т.В.; Мин. образов. РБ, УО «ГГУ им. Ф.Скорины»; - Гомель, 2005.- 87 с.</w:t>
      </w:r>
    </w:p>
    <w:p w14:paraId="35EC405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Алыкова, Т.В. Химический мониторинг объектов окружающей среды: монография / Т.В Алыкова. - Астрахань: Изд-во Астрах. Гос. Пед. Ун-та., 2002. - 210 с.</w:t>
      </w:r>
    </w:p>
    <w:p w14:paraId="436C51F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Прайс, А. Аналитическая атомно-абсорбционная спектрофотометрия / А. Прайс. - М.: «Мир», 1976. - 343 с.</w:t>
      </w:r>
    </w:p>
    <w:p w14:paraId="2D9087A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Можайский, Ю.А. Эколого-химическая оценка антропогенных воздействий на почвенный покров Рязанской области / Ю.А. Можайский. - Рязань, 2005. - 148 с.</w:t>
      </w:r>
    </w:p>
    <w:p w14:paraId="1CB2051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Водяницкий, Ю.Н. Тяжелые и сверхтяжелые металлы и металлойды в загрязнённых почвах / Ю.Н. Водяницкий. - М.: ГНУ Почвенный институт им. В.В. Докучаева Росельхозаадемии, 2009. - 96 с.</w:t>
      </w:r>
    </w:p>
    <w:p w14:paraId="747A05E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Кабата - Пендиас, А. Проблемы современной биогеохимии элементов / А. Кабата - Пендиас // - М.: Рос. хим. ж. - 2005. - </w:t>
      </w:r>
      <w:r>
        <w:rPr>
          <w:rFonts w:ascii="Times New Roman CYR" w:hAnsi="Times New Roman CYR" w:cs="Times New Roman CYR"/>
          <w:kern w:val="0"/>
          <w:sz w:val="28"/>
          <w:szCs w:val="28"/>
          <w:lang w:val="be-BY"/>
        </w:rPr>
        <w:t>№ 3. -</w:t>
      </w:r>
      <w:r>
        <w:rPr>
          <w:rFonts w:ascii="Times New Roman CYR" w:hAnsi="Times New Roman CYR" w:cs="Times New Roman CYR"/>
          <w:kern w:val="0"/>
          <w:sz w:val="28"/>
          <w:szCs w:val="28"/>
        </w:rPr>
        <w:t xml:space="preserve"> С. 19</w:t>
      </w:r>
    </w:p>
    <w:p w14:paraId="0840E10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Жовинский, Э.Я. Геохимия тяжелых металлов в почвах Украины/ Э.Я. Жовинский, И.В. Кураева. - К.: Наукова думка, 2002. - 213 с.</w:t>
      </w:r>
    </w:p>
    <w:p w14:paraId="3C06BF3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Экология города: учебное пособие / ред.: Н.С. Косимов [и др.]. - М.: Научный мир, 2004. - 624 с.</w:t>
      </w:r>
    </w:p>
    <w:p w14:paraId="69E24E6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Брукс, P.P. Загрязнение микроэлементами / Р.Р. Брукс; под ред. Дж.О.М. Бокриса. - М.: Химия, 1982. - 672 с.</w:t>
      </w:r>
    </w:p>
    <w:p w14:paraId="29E608A7" w14:textId="77777777" w:rsidR="00D41A6B"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Пейве, Я. В. Биохимия почв / Я.В. Пейве. </w:t>
      </w:r>
      <w:r>
        <w:rPr>
          <w:rFonts w:ascii="Cambria Math" w:hAnsi="Cambria Math" w:cs="Cambria Math"/>
          <w:kern w:val="0"/>
          <w:sz w:val="28"/>
          <w:szCs w:val="28"/>
        </w:rPr>
        <w:t>−</w:t>
      </w:r>
      <w:r>
        <w:rPr>
          <w:rFonts w:ascii="Times New Roman CYR" w:hAnsi="Times New Roman CYR" w:cs="Times New Roman CYR"/>
          <w:kern w:val="0"/>
          <w:sz w:val="28"/>
          <w:szCs w:val="28"/>
        </w:rPr>
        <w:t xml:space="preserve"> М.: Сельхозгиз, 1961. - 422 с.</w:t>
      </w:r>
    </w:p>
    <w:sectPr w:rsidR="00D41A6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13"/>
    <w:rsid w:val="00250084"/>
    <w:rsid w:val="00D41A6B"/>
    <w:rsid w:val="00F90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B427C4"/>
  <w14:defaultImageDpi w14:val="0"/>
  <w15:docId w15:val="{32596848-651A-4979-A5A8-2702653B9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9354</Words>
  <Characters>53319</Characters>
  <Application>Microsoft Office Word</Application>
  <DocSecurity>0</DocSecurity>
  <Lines>444</Lines>
  <Paragraphs>125</Paragraphs>
  <ScaleCrop>false</ScaleCrop>
  <Company/>
  <LinksUpToDate>false</LinksUpToDate>
  <CharactersWithSpaces>62548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2025-12-30T18:51:00Z</dcterms:created>
  <dcterms:modified xsi:type="dcterms:W3CDTF">2025-12-30T18:51:00Z</dcterms:modified>
</cp:coreProperties>
</file>