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FFD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E6A32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B1403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9DDCC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CEAF9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D5F57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DB670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B0267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65005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7004A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128EF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A88BD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ADF5F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66E93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Курсовая работа</w:t>
      </w:r>
    </w:p>
    <w:p w14:paraId="7B20883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Тема курсовой работы «Сравнительная оценка методов качественного и количественного анализа субстанции сульфацил-натрия»</w:t>
      </w:r>
    </w:p>
    <w:p w14:paraId="2A1715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AA4A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69ECA1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Содержание</w:t>
      </w:r>
    </w:p>
    <w:p w14:paraId="360EB0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93908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741B7A3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>.Теоретическая часть</w:t>
      </w:r>
    </w:p>
    <w:p w14:paraId="5D2C18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.Фармакопейная статья</w:t>
      </w:r>
    </w:p>
    <w:p w14:paraId="7FC3FA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Описание и синтез</w:t>
      </w:r>
    </w:p>
    <w:p w14:paraId="1C75D2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Испытания на подлинность</w:t>
      </w:r>
    </w:p>
    <w:p w14:paraId="6F216B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Количественное определение</w:t>
      </w:r>
    </w:p>
    <w:p w14:paraId="702FAA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Хранение и применение</w:t>
      </w:r>
    </w:p>
    <w:p w14:paraId="6FAF8C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>.Экспериментальная часть</w:t>
      </w:r>
    </w:p>
    <w:p w14:paraId="3CB7FA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.Испытания на подлинность</w:t>
      </w:r>
    </w:p>
    <w:p w14:paraId="790147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Количественное определение</w:t>
      </w:r>
    </w:p>
    <w:p w14:paraId="411928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Заключение</w:t>
      </w:r>
    </w:p>
    <w:p w14:paraId="7D3CDDD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Список литературы </w:t>
      </w:r>
    </w:p>
    <w:p w14:paraId="23181C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6F1519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177371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E062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Сульфацетамид натрия - один из представителей группы сульфаниламидов, группа антимикробных лекарственных средств - производных сульфаниловой кислоты. Их антибактериальные свойства обнаружены немецким учёным Г. Домагком в 1934. В 1935 году ученые Пастеровского института (Франция) установили, что антибактериальным действием обладает именно сульфаниламидная часть молекулы пронтозила(красный стрептоцид), а не структура, придающая ему окраску.</w:t>
      </w:r>
    </w:p>
    <w:p w14:paraId="353BB4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Сульфаниламидные препараты близки по химической структуре парааминобензойной кислоте (ПАБК) - необходимому фактору роста микроорганизмов, при отсутствии которого они не могут размножаться. Основной механизм действия сульфаниламидных препаратов - конкуренция с ПАБК за связывание с определёнными ферментами в микробной клетке. В результате соединения сульфаниламидных препаратов с ферментами бактерии теряют способность синтезировать необходимый им витамин - фолиевую кислоту и осуществлять другие превращения веществ, которые в норме протекают с участием ПАБК. Поскольку эти ферменты обладают более высоким сродством с ПАБК, чем с сульфаниламидными препаратами терапевтический эффект достигается при достаточно больших дозах препаратов. Приём сульфаниламидных препаратов в недостаточных дозах или досрочное прекращение лечения могут привести к появлению устойчивых штаммов возбудителей, не поддающихся в дальнейшем действию сульфаниламидных препаратов.</w:t>
      </w:r>
    </w:p>
    <w:p w14:paraId="4E7580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Цель: провести сравнительную оценку реакций идентификации и методов количественного определения субстанции сульфацил-натрия.</w:t>
      </w:r>
    </w:p>
    <w:p w14:paraId="0CD07F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Задачи:</w:t>
      </w:r>
    </w:p>
    <w:p w14:paraId="35BEF8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провести обзор литературы, содержащей методики качественного и количественного анализа субстанции;</w:t>
      </w:r>
    </w:p>
    <w:p w14:paraId="7A4B3D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провести качественное определение субстанции сульфацил - натрия;</w:t>
      </w:r>
    </w:p>
    <w:p w14:paraId="337A0A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провести количественное определение субстанции сульфацил - натрия;</w:t>
      </w:r>
    </w:p>
    <w:p w14:paraId="6BF6B3D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провести статистическую обработку методов количественного определения субстанции сульфацил - натрия;</w:t>
      </w:r>
    </w:p>
    <w:p w14:paraId="725EAB9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сделать заключение о возможности использования методов качественного и количественного анализа сульфацил-натрия в фармацевтическом анализе;</w:t>
      </w:r>
    </w:p>
    <w:p w14:paraId="34E930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. Теоретическая часть</w:t>
      </w:r>
    </w:p>
    <w:p w14:paraId="70F648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35AC5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Фармакопейная статья</w:t>
      </w:r>
    </w:p>
    <w:p w14:paraId="3C44D9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8564C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ГФ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ФС № 641natrium</w:t>
      </w:r>
    </w:p>
    <w:p w14:paraId="61D0B14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Сульфацил-натрий</w:t>
      </w:r>
    </w:p>
    <w:p w14:paraId="1E2EB5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Сульфацил растворимый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Sulfacylum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solubile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00E5C5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п-Аминобензолсульфонилацетамид-натрий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Albucid</w:t>
      </w:r>
      <w:r>
        <w:rPr>
          <w:rFonts w:ascii="Times New Roman CYR" w:hAnsi="Times New Roman CYR" w:cs="Times New Roman CYR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natrium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Sulfacetamidum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Natricum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*)</w:t>
      </w:r>
    </w:p>
    <w:p w14:paraId="09E483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EA70B39" w14:textId="7FB5DC66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18A797B" wp14:editId="371A1C21">
            <wp:extent cx="3779520" cy="1584960"/>
            <wp:effectExtent l="0" t="0" r="0" b="0"/>
            <wp:docPr id="1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658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H9N2Na2O3S • H2O. в. 254,24</w:t>
      </w:r>
    </w:p>
    <w:p w14:paraId="364C87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Описание. Белый кристаллический порошок без запаха.</w:t>
      </w:r>
    </w:p>
    <w:p w14:paraId="30F293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Растворимость. Легко растворим в воде, практически нерастворим в спирте, эфире, хлороформе и ацетоне.</w:t>
      </w:r>
    </w:p>
    <w:p w14:paraId="651476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Подлинность. Препарат дает характерную реакцию на ароматические первичные амины и реакцию Б на натрий.</w:t>
      </w:r>
    </w:p>
    <w:p w14:paraId="5D0654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,1 г препарата растворяют в 3 мл воды и прибавляют 1 мл раствора сульфата меди; образуется осадок голубовато-зеленоватого цвета, который не изменяется при стоянии (отличие от других сульфамидных препаратов).</w:t>
      </w:r>
    </w:p>
    <w:p w14:paraId="56F49A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Прозрачность и цветность раствора. Раствор 1,5 г препарата в 5 мл воды должен быть прозрачным; окраска раствора не должна быть интенсивнее эталона № 5а.</w:t>
      </w:r>
    </w:p>
    <w:p w14:paraId="00D921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Щелочность. рН 8,5-9,5 (5% водный раствор).</w:t>
      </w:r>
    </w:p>
    <w:p w14:paraId="24D7F0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Хлориды. Раствор 0,2 г препарата в 10 мл воды должен выдерживать испытание на хлориды (не более 0,01% в препарате).</w:t>
      </w:r>
    </w:p>
    <w:p w14:paraId="0B3294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Сульфаты. Раствор 0,5 г препарата в 10 мл воды должен выдерживать испытание на сульфаты (не более 0,02% в препарате).</w:t>
      </w:r>
    </w:p>
    <w:p w14:paraId="2E66A0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Тяжелые металлы. 1 г препарата растворяют в 17,5 мл воды, добавляют 2,5 мл разведенной уксусной кислоты, взбалтывают в течение 5 минут и выпавший осадок отфильтровывают. 10 мл фильтрата должны выдерживать испытание на тяжелые металлы (не более 0,001% в препарате).</w:t>
      </w:r>
    </w:p>
    <w:p w14:paraId="32278A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Количественное определение. Около 0,3 г препарата (точная навеска) растворяют в 10 мл воды и 10 мл разведенной соляной кислоты и далее поступают, как указано в статье «Нитритометрия» (стр. 799). В случае применения внутренних индикаторов используют нейтральный красный.</w:t>
      </w:r>
    </w:p>
    <w:p w14:paraId="31F943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мл 0,1 мол раствора нитрита натрия соответствует 0,02542 г C8H9N2Na2O3S • H2O, которого в препарате должно быть не менее 99,0%.</w:t>
      </w:r>
    </w:p>
    <w:p w14:paraId="42A7218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Хранение. Список Б. В таре, предохраняющей от действия влаги и света.</w:t>
      </w:r>
    </w:p>
    <w:p w14:paraId="20BD0A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Высшая разовая доза внутрь 2,0 г.</w:t>
      </w:r>
    </w:p>
    <w:p w14:paraId="0F3C13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Высшая суточная доза внутрь 7,0 г.(При лечении инфекционных глазных заболеваний применяют 10- 20-30% растворы и мази).Антибактериальное средство.</w:t>
      </w:r>
    </w:p>
    <w:p w14:paraId="0ED4373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E564E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.Описание и синтез</w:t>
      </w:r>
    </w:p>
    <w:p w14:paraId="500BC6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EDB3A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Сульфацил-натрий - это амфотерное соединение. Наличие амидной группы в структуре сульфацила натрия будет обусловливает его кислотные свойства, которые выражены сильнее основных. Этим объясняется относительная устойчивость и возможность применения как самостоятельного лекарственного средства. Основные свойства обусловлены наличием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ароматической аминогруппы. Сульфацил натрия хорошо растворим в воде, водные растворы имеют щелочную реакцию среды вследствие гидролиза ( соль сильного основания и слабой органической кислоты ).</w:t>
      </w:r>
    </w:p>
    <w:p w14:paraId="6B5C661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натриевых солях сульфаниламидов щелочность регламентируется как примесь, остающаяся после их синтеза, а также образующаяся при хранении растворов вследствии гидролиза. Как правило, щелочность в этих лекарственных средствах допускается в определенных пределах. В сульфациле натрия она устанавливается по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раствора. Наличие амидной группы в структуре будет обусловливать его кислотные свойства.</w:t>
      </w:r>
    </w:p>
    <w:p w14:paraId="52C691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Синтез сульфацетамида натрия осуществляют из ацилированного сульфаниламида по следующей схеме:</w:t>
      </w:r>
    </w:p>
    <w:p w14:paraId="26D7E7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3E8E129" w14:textId="114A73DB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8632864" wp14:editId="2C74A0D2">
            <wp:extent cx="2895600" cy="1363980"/>
            <wp:effectExtent l="0" t="0" r="0" b="0"/>
            <wp:docPr id="2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2C3F9" w14:textId="49F1DFEB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F1173D2" wp14:editId="5324E855">
            <wp:extent cx="2842260" cy="1333500"/>
            <wp:effectExtent l="0" t="0" r="0" b="0"/>
            <wp:docPr id="3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51EBE" w14:textId="5A557761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B9523EC" wp14:editId="3D8CB701">
            <wp:extent cx="2849880" cy="1158240"/>
            <wp:effectExtent l="0" t="0" r="0" b="0"/>
            <wp:docPr id="4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93F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27F43C94" w14:textId="7CA6A14F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38FC61C" wp14:editId="5E945C52">
            <wp:extent cx="3017520" cy="1181100"/>
            <wp:effectExtent l="0" t="0" r="0" b="0"/>
            <wp:docPr id="5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4C1EC" w14:textId="65C424B1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DB014E8" wp14:editId="2AB1101E">
            <wp:extent cx="3086100" cy="1295400"/>
            <wp:effectExtent l="0" t="0" r="0" b="0"/>
            <wp:docPr id="6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51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65382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Испытания на подлинность</w:t>
      </w:r>
    </w:p>
    <w:p w14:paraId="1CBD85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DC1E2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испытаний подлинности сульфацила - натрия используют общие и частные реакции, обусловленные наличием тех или иных функциональных групп в молекуле.</w:t>
      </w:r>
    </w:p>
    <w:p w14:paraId="020E01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первичную ароматическую аминогруппу, проводят реакцию образования азокрасителя, лигниновую пробу, реакцию конденсации:</w:t>
      </w:r>
    </w:p>
    <w:p w14:paraId="6E5F7D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Реакция образования азокрасителя</w:t>
      </w:r>
    </w:p>
    <w:p w14:paraId="606EF4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Общим свойством первичных ароматических аминов является способность к образованию соли диазония и азокрасителей. Ионы диазония, обладающие электрофильными свойствами, вступают в реакцию электрофильного замещения.</w:t>
      </w:r>
    </w:p>
    <w:p w14:paraId="1B9DDF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Реакция основана на образовании хлорида диазония в результате действия раствором нитрита натрия и разведенной хлороводородной кислотой. Последующее сочетание хлорида диазония в щелочной среде с фенолами приводит к образованию азокрасителя. Известно очень большое число азосоставляющих. ГФ рекомендует для выполнения этой реакции щелочной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раствор в-нафтола. В результате реакции появляется вишнево-красное окрашивание или образуется осадок оранжево-красного цвета.</w:t>
      </w:r>
    </w:p>
    <w:p w14:paraId="129B87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73A38F48" w14:textId="5EAB4B2A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71F087D" wp14:editId="027F09E5">
            <wp:extent cx="3284220" cy="1219200"/>
            <wp:effectExtent l="0" t="0" r="0" b="0"/>
            <wp:docPr id="7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CC154" w14:textId="76C7AC33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C954ECC" wp14:editId="5E1F6DE4">
            <wp:extent cx="5013960" cy="1318260"/>
            <wp:effectExtent l="0" t="0" r="0" b="0"/>
            <wp:docPr id="8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19D3E" w14:textId="49926DFA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6FCA21B" wp14:editId="2432BD3C">
            <wp:extent cx="3131820" cy="1638300"/>
            <wp:effectExtent l="0" t="0" r="0" b="0"/>
            <wp:docPr id="9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A12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36D69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Лигниновая проба</w:t>
      </w:r>
    </w:p>
    <w:p w14:paraId="276781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Эта своеобразная разновидность реакции образования шиффовых оснований. Она выполняется на древесине или газетной бумаге, при нанесении на которую сульфацил-натрия и капли разведенной соляной кислоты появляется оранжево - желтое окрашивание. Сущность происходящего химического процесса в том, что образуется ароматический альдегид. Альдегиды взаимодействуют с первичными ароматическими аминами, образуя шиффовые основания:</w:t>
      </w:r>
    </w:p>
    <w:p w14:paraId="48DAAD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8340E6B" w14:textId="53071712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44E3AFEA" wp14:editId="14992AAE">
            <wp:extent cx="5196840" cy="1135380"/>
            <wp:effectExtent l="0" t="0" r="0" b="0"/>
            <wp:docPr id="10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9E6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0CBB0E92" w14:textId="7B798DE3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DE07022" wp14:editId="7C664BDE">
            <wp:extent cx="3436620" cy="1089660"/>
            <wp:effectExtent l="0" t="0" r="0" b="0"/>
            <wp:docPr id="11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ABF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60CB6E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Реакция конденсации</w:t>
      </w:r>
    </w:p>
    <w:p w14:paraId="50D15B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Как и производные n-аминобензойной кислоты, сульфаниламиды образуют в щелочной среде продукты конденсации с 2,4-динитрохлорбензолом (желтого цвета) и в кислой среде окрашенные продукты конденсации с альдегидами типа шиффовых оснований. В качестве реактивов используют n-диметиламинобензальдегид (желтое или оранжевое окрашивание), ванилин (желтое), формальдегид (желто-оранжевое или розовое), уксуснокислый раствор фурфурола (красное или малиново-красное).</w:t>
      </w:r>
    </w:p>
    <w:p w14:paraId="0AB469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640610A" w14:textId="3BB170D9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63AB72B" wp14:editId="31022E28">
            <wp:extent cx="4785360" cy="822960"/>
            <wp:effectExtent l="0" t="0" r="0" b="0"/>
            <wp:docPr id="12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79B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063C9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4)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Реакция галогенирования ( на ароматический цикл)</w:t>
      </w:r>
    </w:p>
    <w:p w14:paraId="2F3F42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Эта реакция основаны на наличии донорной группы в ароматическом ядре молекулы сульфаниламида (заместитель первого рода). Реакции галогенирования могут быть использованы как для качественного анализа (образование осадков дибром- или дийодпроизводных), так и для количественного (броматометрического, йодометрического, йодхлорометрического) определения сульфаниламидов.</w:t>
      </w:r>
    </w:p>
    <w:p w14:paraId="28DBD0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13D427FF" w14:textId="3370EFC1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591DF57" wp14:editId="12431B09">
            <wp:extent cx="3703320" cy="1668780"/>
            <wp:effectExtent l="0" t="0" r="0" b="0"/>
            <wp:docPr id="13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F10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5F1D3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Сульфацил натрий обладает кислотными свойствами, соответственно взаимодействует с металлами:</w:t>
      </w:r>
    </w:p>
    <w:p w14:paraId="394B10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Реакция образования комплексных солей</w:t>
      </w:r>
    </w:p>
    <w:p w14:paraId="0FCA40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Образование окрашенных, нерастворимых в воде комплексных солей сульфаниламидов является общей реакций, характеризующей их кислотные свойства, и в то же время позволяющей различить судьфаниламиды внутри группы, поскольку осадки отличаются характером и устойчивостью окраски. Окраска и устойчивость комплексных соединений зависят от химической структуры вещества, в частности от силы кислотности. В ГФ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рекомендуется проводить реакцию образования комплексных солей с меди сульфатом. Реакция среды должна быть нейтральной во избежание образования осадка меди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гидроксида. Сульфацил-натрия образует комплекс голубовато - зеленого цвета.</w:t>
      </w:r>
    </w:p>
    <w:p w14:paraId="5D0D5E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4F912D7" w14:textId="2E63AD2E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831C39A" wp14:editId="3B75B9BF">
            <wp:extent cx="4686300" cy="1996440"/>
            <wp:effectExtent l="0" t="0" r="0" b="0"/>
            <wp:docPr id="14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49E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345A0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Реакция окисления</w:t>
      </w:r>
    </w:p>
    <w:p w14:paraId="613310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окислении сульфаниламидов как ароматических аминов образуются окрашенные соединения. Окисление может происходить под действием кислорода воздуха, особенно в растворах. Так быстрое пожелтение раствора сульфацила-натрия свидетельствует о появлении окрашенных продуктов окисления. Степень окисления сульфаниламидов регламентируется ГФ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путем определения цветности раствора. Так, при анализе сульфацил - натрия проводится определение степени окраски его раствора определенной концентрации, которая не должна превышать окраску эталона цветности № 6б.</w:t>
      </w:r>
    </w:p>
    <w:p w14:paraId="7F10BD6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Реакция обнаружения серы (в сульфамидной группе)</w:t>
      </w:r>
    </w:p>
    <w:p w14:paraId="403F3A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Наличие серы в молекуле сульфаниламидов, как и в других содержащих серу соединениях, можно установить после окисления органической части молекулы концентрированной азотной кислотой или сплавления: с 10-кратным количеством нитрата калия до сульфат-иона. Последний затем обнаруживают с помощью раствора хлорида бария - белый осадок</w:t>
      </w:r>
    </w:p>
    <w:p w14:paraId="54ADE3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+ + SO42-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BaSO4</w:t>
      </w:r>
      <w:r>
        <w:rPr>
          <w:rFonts w:ascii="Times New Roman" w:hAnsi="Times New Roman" w:cs="Times New Roman"/>
          <w:kern w:val="0"/>
          <w:sz w:val="28"/>
          <w:szCs w:val="28"/>
        </w:rPr>
        <w:t>↓</w:t>
      </w:r>
    </w:p>
    <w:p w14:paraId="2DF647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C1D53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Реакция и нитропруссидом натрия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.</w:t>
      </w:r>
    </w:p>
    <w:p w14:paraId="6C2645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Растворы сульфаниламидов в присутствии едких щелочей при добавлении 1% раствора нитропруссида натрия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Symbol" w:hAnsi="Symbol" w:cs="Symbol"/>
          <w:kern w:val="0"/>
          <w:sz w:val="28"/>
          <w:szCs w:val="28"/>
        </w:rPr>
        <w:t>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Fe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CN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Symbol" w:hAnsi="Symbol" w:cs="Symbol"/>
          <w:kern w:val="0"/>
          <w:sz w:val="28"/>
          <w:szCs w:val="28"/>
        </w:rPr>
        <w:t>]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и последующем подкислении минеральной кислотой образуют окрашенные в красный или красно-коричневый цвет раствор или осадок.</w:t>
      </w:r>
    </w:p>
    <w:p w14:paraId="134EF7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УФ-, ИК- спектрофотоместрия</w:t>
      </w:r>
    </w:p>
    <w:p w14:paraId="5778A8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ФС включены способы идентификации сульфаниламидов по УФ-спектрам поглощения. Выбор этих методик основан на проведении предварительных исследований. В.Е. Чичиро, А.П. Арзамасцевым с сотрудниками унифицированы условия получения УФ-спектров 14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сульфаниламидов для их идентификации. Растворителями служили 0,1 М растворы гидроксида натрия и хлороводородной кислоты. УФ-спектры были сняты в области 210-360 нм. Установлено, что идентифицировать тот или иной сульфаниламид можно по форме УФ-спектра, удельному показателю поглощения или на основании вторых производных УФ-спектров.</w:t>
      </w:r>
    </w:p>
    <w:p w14:paraId="4ADBDA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УФ-спектр 0,001%-ного раствора сульфацетамида натрия имеет максимум поглощения при 256 нм и минимум - при 227 нм.</w:t>
      </w:r>
    </w:p>
    <w:p w14:paraId="6F68704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Частная реакция определения сульфацил - натрия.</w:t>
      </w:r>
    </w:p>
    <w:p w14:paraId="14A7664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действии на сульфацил-натрий уксусной кислотой выделяется бурый осадок сульфацетамида, который после высушивания должен иметь температуру плавления около 183° С:</w:t>
      </w:r>
    </w:p>
    <w:p w14:paraId="750A69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B8A0BC2" w14:textId="1EBE6342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829D139" wp14:editId="654EE545">
            <wp:extent cx="2796540" cy="1005840"/>
            <wp:effectExtent l="0" t="0" r="0" b="0"/>
            <wp:docPr id="15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1D822" w14:textId="2C70B9B7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74C4F39" wp14:editId="6E040CEC">
            <wp:extent cx="2933700" cy="1021080"/>
            <wp:effectExtent l="0" t="0" r="0" b="0"/>
            <wp:docPr id="16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D753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8638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растворении осадка в этаноле и добавлении конц. серной кислоты образуется этилацетат, имеющий характерный запах:</w:t>
      </w:r>
    </w:p>
    <w:p w14:paraId="5B30E8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E4E844E" w14:textId="6EB40007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5881D8B" wp14:editId="62FBBDFA">
            <wp:extent cx="4427220" cy="1424940"/>
            <wp:effectExtent l="0" t="0" r="0" b="0"/>
            <wp:docPr id="17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6AC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br w:type="page"/>
      </w:r>
    </w:p>
    <w:p w14:paraId="3D8C65B5" w14:textId="409F8368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1E21D2F" wp14:editId="59C04838">
            <wp:extent cx="4038600" cy="1356360"/>
            <wp:effectExtent l="0" t="0" r="0" b="0"/>
            <wp:docPr id="18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6B5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06686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отличия натриевых солей от соответствующих сульфаниламидов выполняют реакцию на ион натрия (окраска пламени горелки в желтый цфет), а также реакцию с цинкуранилацетатом - желтое окрашивание.</w:t>
      </w:r>
    </w:p>
    <w:p w14:paraId="16DFDC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Na+ + Zn(UO2)3(CH3COO)8 + CH3COO- + 9H2O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NaZn(UO2)3(CH3COO)9 9H2O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↓</w:t>
      </w:r>
    </w:p>
    <w:p w14:paraId="251E1D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0F610A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4.Количественное определение</w:t>
      </w:r>
    </w:p>
    <w:p w14:paraId="18DEE3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сульфацил натрий соль реакция</w:t>
      </w:r>
    </w:p>
    <w:p w14:paraId="39C487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1)Нитритометрия.</w:t>
      </w:r>
    </w:p>
    <w:p w14:paraId="4382AB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Этот метод рекомендован НД для количественного определения сульфаниламидов, являющихся первичными ароматическими аминами. Определение основано на способности первичных ароматических аминов образовывать в кислой среде диазосоединения:</w:t>
      </w:r>
    </w:p>
    <w:p w14:paraId="0708AB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качестве титранта используют нитрит натрия (0,1 М раствор). Титруют в присутствии бромида-калия при 18-200С или при 0-100С. Бромид калия катализирует процесс диазотирования, а охлаждение реакционной смеси позволяет избежать потерь азотистой кислоты и предотвратить разложение соли диазония. Точку эквивалентности можно установить одним из трех способов: с помощью внутренних индикаторов (тропеолин 00, нейтральный красный, смесь тропеолина 00 с метиленовым синим); внешних индикаторов (йодкрахмальная бумага) или потенциометрически.</w:t>
      </w:r>
    </w:p>
    <w:p w14:paraId="729918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765C430E" w14:textId="4DD01123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A867D0D" wp14:editId="12C294B8">
            <wp:extent cx="4442460" cy="1874520"/>
            <wp:effectExtent l="0" t="0" r="0" b="0"/>
            <wp:docPr id="19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56F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1A99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)Нейтрализация.</w:t>
      </w:r>
    </w:p>
    <w:p w14:paraId="3585E9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Поскольку образующаяся натриевая соль легко подвергается гидролизу, то результаты определения получаются заниженные. Поэтому чрезвычайно важен выбор оптимального растворителя, который следует осуществлять с учетом констант диссоциации сульфаниламидов. Сульфаниламиды с константой диссоциации 10-7-10-8 можно титровать в водно-ацетоновом растворе или в этаноле (индикатор тимолфталеин), а с константой диссоциации 10-9 титруют только в неводных растворителях.</w:t>
      </w:r>
    </w:p>
    <w:p w14:paraId="6D6425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Натриевые соли сульфаниламидов можно титровать кислотой в спирто-ацетоновой среде (индикатор метиловый оранжевый):</w:t>
      </w:r>
    </w:p>
    <w:p w14:paraId="35F856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1601A2" w14:textId="0588C631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47821A1" wp14:editId="502DBBC1">
            <wp:extent cx="4716780" cy="1402080"/>
            <wp:effectExtent l="0" t="0" r="0" b="0"/>
            <wp:docPr id="20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961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02092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)Броматометрия</w:t>
      </w:r>
    </w:p>
    <w:p w14:paraId="2C9751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Метод основан на реакции галогенирования сульфаниламидов. Титруют раствором бромата калия в кислой среде в присутствии бромида калия.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Конечную точку устанавливают при прямом титровании по обесцвечиванию (бромом) индикатора метилового оранжевого, а при обратном титровании -йодометрически:</w:t>
      </w:r>
    </w:p>
    <w:p w14:paraId="441E9ACE" w14:textId="2D9B7DFD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FAF0962" wp14:editId="3CCD5DFD">
            <wp:extent cx="3657600" cy="327660"/>
            <wp:effectExtent l="0" t="0" r="0" b="0"/>
            <wp:docPr id="21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59B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ECFBA83" w14:textId="22DA4343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907E406" wp14:editId="0710996B">
            <wp:extent cx="4922520" cy="1607820"/>
            <wp:effectExtent l="0" t="0" r="0" b="0"/>
            <wp:docPr id="22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323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6EECC038" w14:textId="0F51AF0E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EC3718E" wp14:editId="6E174F7F">
            <wp:extent cx="2026920" cy="327660"/>
            <wp:effectExtent l="0" t="0" r="0" b="0"/>
            <wp:docPr id="23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727C6" w14:textId="4B85A711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AE810FB" wp14:editId="6E303C49">
            <wp:extent cx="2804160" cy="327660"/>
            <wp:effectExtent l="0" t="0" r="0" b="0"/>
            <wp:docPr id="24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D7B1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BC923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Метод Кьельдаля</w:t>
      </w:r>
    </w:p>
    <w:p w14:paraId="3E709E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Используют для количественного определения азота в органических веществах. Определение проводят с помощью прибора, состоящего из колбы Кьельдаля, парообразователя, холодильника, приемника.</w:t>
      </w:r>
    </w:p>
    <w:p w14:paraId="018A46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Навеску анализируемого вещества кипятят с концентрированной серной кислотой. При этом углерод органических веществ окисляется до диоксида углерода, водород - до воды; азот (отрицательно заряженный трехвалентный) превращается в аммиак, который с серной кислотой, взятой в избытке, образует сульфат аммония. Минерализованную пробу затем подщелачивают, аммиак отгоняют в раствор кислоты борной, где определяют титрованием 0,1 М Н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30B686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654C265F" w14:textId="48D59469" w:rsidR="00000000" w:rsidRDefault="00D71B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3E03018" wp14:editId="366B2E22">
            <wp:extent cx="3025140" cy="2590800"/>
            <wp:effectExtent l="0" t="0" r="0" b="0"/>
            <wp:docPr id="25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8F8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70E0F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.Хранение и применение</w:t>
      </w:r>
    </w:p>
    <w:p w14:paraId="11815F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B2F04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Хранят сульфаниламиды как сильнодействующие средства, в хорошо укупоренной таре (стеклянных банках с притертыми крышками) в защищенном от света месте. Сульфацил-натрия при несоблюдении условий хранения постепенно теряет воду, что может привести к изменению физических свойств. Срок проверочного анализа 5 лет.</w:t>
      </w:r>
    </w:p>
    <w:p w14:paraId="45CE257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Сульфаниламиды относятся к химиотерапевтическим средствам широкого антибактериального спектра действия, так как они подавляют жизнедеятельность многих видов грамположительных и грамотрицательных бактерий: стрептококков, стафилококков, менингококков, гонококков, бактерий кишечно-тифозно-дизентерийной группы и многих других. Они активны в отношении крупных вирусов (возбудителей трахомы, пахового лимфогранулематоза), кокцидий, плазмодий малярии и токсоплазм, актиномицет и т д.</w:t>
      </w:r>
    </w:p>
    <w:p w14:paraId="1080C9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Сульфацил-натрий по антимикробному действию и особенностям фармакокинетики сходен с сульфацилом. Применяют при пиелитах, циститах,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колитах и послеродовом сепсисе. Назначают внутрь в дозах: лошадям и крупному рогатому скоту 3-10 г, мелкому рогатому скоту и свиньям 1-2, собакам 0,3-0,5 г 3-4 раза в сутки.</w:t>
      </w:r>
    </w:p>
    <w:p w14:paraId="37BE5F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Наружно сульфацил-натрий применяют при лечении ран, язв роговицы, конъюнктивитов, маститов, эндометритов. Употребляют в форме присыпки, мази или растворов 10, 20 или 30 %-ной концентрации. Особенно хорошие результаты получены при применении сульфацил-натрия в глазной практике.</w:t>
      </w:r>
    </w:p>
    <w:p w14:paraId="1D6E3FC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Противопоказания к применению: острый гепатит, агранулоцитоз, гемолитическая анемия.</w:t>
      </w:r>
    </w:p>
    <w:p w14:paraId="2992466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BA3E0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. Экспериментальная часть</w:t>
      </w:r>
    </w:p>
    <w:p w14:paraId="08EFC9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203E7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Испытания на подлинность</w:t>
      </w:r>
    </w:p>
    <w:p w14:paraId="1ACD7F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B01E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Реакция комплексообразования</w:t>
      </w:r>
    </w:p>
    <w:p w14:paraId="7795AC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,1 г сульфацил-натрия растворяют в 3 мл воды и прибавляют 1 мл раствора сульфата меди, образуется осадок голубовато зеленого цвета, который не меняется при стоянии. Реакция проводилась со следующими металлами:</w:t>
      </w:r>
    </w:p>
    <w:p w14:paraId="44004E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977"/>
      </w:tblGrid>
      <w:tr w:rsidR="00000000" w14:paraId="35234F6F" w14:textId="77777777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701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Металл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869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Окрашивание</w:t>
            </w:r>
          </w:p>
        </w:tc>
      </w:tr>
      <w:tr w:rsidR="00000000" w14:paraId="32998A23" w14:textId="77777777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B15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8FC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Зеленое</w:t>
            </w:r>
          </w:p>
        </w:tc>
      </w:tr>
      <w:tr w:rsidR="00000000" w14:paraId="28CE57CB" w14:textId="77777777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522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Co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D5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Розово - красное</w:t>
            </w:r>
          </w:p>
        </w:tc>
      </w:tr>
      <w:tr w:rsidR="00000000" w14:paraId="375AC4C8" w14:textId="77777777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CE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Ag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7AB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Белый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</w:tbl>
    <w:p w14:paraId="303BEE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28F1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Реакция образования азокрасителя</w:t>
      </w:r>
    </w:p>
    <w:p w14:paraId="6BD791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,05 г сульфацил-натрия растворяют в 1 мл разведенной кислоты хлористоводородной, прибавляют 2 мл 1% раствора натрия нитрата; полученный раствор прибавляют к 1 мл щелочного раствора </w:t>
      </w:r>
      <w:r>
        <w:rPr>
          <w:rFonts w:ascii="Times New Roman" w:hAnsi="Times New Roman" w:cs="Times New Roman"/>
          <w:kern w:val="0"/>
          <w:sz w:val="28"/>
          <w:szCs w:val="28"/>
        </w:rPr>
        <w:t>β-</w:t>
      </w:r>
      <w:r>
        <w:rPr>
          <w:rFonts w:ascii="Times New Roman CYR" w:hAnsi="Times New Roman CYR" w:cs="Times New Roman CYR"/>
          <w:kern w:val="0"/>
          <w:sz w:val="28"/>
          <w:szCs w:val="28"/>
        </w:rPr>
        <w:t>нафтола, содержащего 0,5г натрия ацетата. Образуется коричнево-красный осадок. Реакция проводилась со следующими веществами:</w:t>
      </w:r>
    </w:p>
    <w:p w14:paraId="47EB71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4254"/>
      </w:tblGrid>
      <w:tr w:rsidR="00000000" w14:paraId="5B11FC13" w14:textId="77777777">
        <w:tblPrEx>
          <w:tblCellMar>
            <w:top w:w="0" w:type="dxa"/>
            <w:bottom w:w="0" w:type="dxa"/>
          </w:tblCellMar>
        </w:tblPrEx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73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Вещество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C8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Окрашивание</w:t>
            </w:r>
          </w:p>
        </w:tc>
      </w:tr>
      <w:tr w:rsidR="00000000" w14:paraId="33E40B85" w14:textId="77777777">
        <w:tblPrEx>
          <w:tblCellMar>
            <w:top w:w="0" w:type="dxa"/>
            <w:bottom w:w="0" w:type="dxa"/>
          </w:tblCellMar>
        </w:tblPrEx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52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α-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нафтол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0E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Красный р-р с темно вишневым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↓</w:t>
            </w:r>
          </w:p>
        </w:tc>
      </w:tr>
      <w:tr w:rsidR="00000000" w14:paraId="6B0FC97B" w14:textId="77777777">
        <w:tblPrEx>
          <w:tblCellMar>
            <w:top w:w="0" w:type="dxa"/>
            <w:bottom w:w="0" w:type="dxa"/>
          </w:tblCellMar>
        </w:tblPrEx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AAA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β-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нафтол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8D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Кирпично-красное окрашивание</w:t>
            </w:r>
          </w:p>
        </w:tc>
      </w:tr>
      <w:tr w:rsidR="00000000" w14:paraId="27EC92E5" w14:textId="77777777">
        <w:tblPrEx>
          <w:tblCellMar>
            <w:top w:w="0" w:type="dxa"/>
            <w:bottom w:w="0" w:type="dxa"/>
          </w:tblCellMar>
        </w:tblPrEx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171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Фенол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D42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Желтое окрашивание</w:t>
            </w:r>
          </w:p>
        </w:tc>
      </w:tr>
      <w:tr w:rsidR="00000000" w14:paraId="5B82F55B" w14:textId="77777777">
        <w:tblPrEx>
          <w:tblCellMar>
            <w:top w:w="0" w:type="dxa"/>
            <w:bottom w:w="0" w:type="dxa"/>
          </w:tblCellMar>
        </w:tblPrEx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C13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Тимол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DBF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Оранжевое окрашивание</w:t>
            </w:r>
          </w:p>
        </w:tc>
      </w:tr>
      <w:tr w:rsidR="00000000" w14:paraId="26095184" w14:textId="77777777">
        <w:tblPrEx>
          <w:tblCellMar>
            <w:top w:w="0" w:type="dxa"/>
            <w:bottom w:w="0" w:type="dxa"/>
          </w:tblCellMar>
        </w:tblPrEx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89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Резорцин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73E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Желто-бурое окрашивание</w:t>
            </w:r>
          </w:p>
        </w:tc>
      </w:tr>
    </w:tbl>
    <w:p w14:paraId="4E88F0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8007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Реакция окисления</w:t>
      </w:r>
    </w:p>
    <w:p w14:paraId="28B2ED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 0,05 г сульфацил-натрия прибавляют 1 мл гидроксида натрия. К полученному раствору прибавляют 6-8 капель хлорамина и 6 капель 1% раствора фенола. Нагревают на водяной бане, появляется синее окрашивание.</w:t>
      </w:r>
    </w:p>
    <w:p w14:paraId="734B8B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4)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Реакция конденсации</w:t>
      </w:r>
    </w:p>
    <w:p w14:paraId="343C0E3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 0,05 г сульфацил-натрия прибавляют 1 мл гидроксида натрия. К полученному раствору прибавляют 0,05 г ванилина. Образуется раствор желтого цвета.</w:t>
      </w:r>
    </w:p>
    <w:p w14:paraId="7EFA8E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5)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Реакция обнаружения серы</w:t>
      </w:r>
    </w:p>
    <w:p w14:paraId="6D3E7B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,05 г препарата растворяют в 2-3 мл концентрированной азотной кислоты, нагреваю на водяной бане. После охлаждения добавляют 1-2 мл бария хлорида, образуется белый осадок.</w:t>
      </w:r>
    </w:p>
    <w:p w14:paraId="1122FBA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1CB6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.Количественное определение</w:t>
      </w:r>
    </w:p>
    <w:p w14:paraId="1691D9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4534D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)Броматометрия</w:t>
      </w:r>
    </w:p>
    <w:p w14:paraId="3ADDE84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,05 г препарата растворяют в 50 мл воды, добавляют 25 мл 0,1М раствора бромата калия; 2,5 г калия бромида и 10 мл соляной кислоты. Оставляют на 15 минут. Затем прибавляют 1 г калия йодида, растворенного в 5 мл волы и титруют 0,1 М раствором тиосульфата натрия. Индикатор крахмал.</w:t>
      </w:r>
    </w:p>
    <w:p w14:paraId="6E23D37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мл 0,1М раствора тиосульфата натрия соответствует 0,01271 г сульфацила натрия.</w:t>
      </w:r>
    </w:p>
    <w:p w14:paraId="6F744B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1827"/>
        <w:gridCol w:w="2393"/>
        <w:gridCol w:w="2393"/>
      </w:tblGrid>
      <w:tr w:rsidR="00000000" w14:paraId="3DBC00CD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74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 взвешивания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2D8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а, г Навеска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E81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V,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мл Объем теоретический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83C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V,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мл Объем практический</w:t>
            </w:r>
          </w:p>
        </w:tc>
      </w:tr>
      <w:tr w:rsidR="00000000" w14:paraId="1F16FB09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797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84F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0,0501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9E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CA4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</w:tr>
      <w:tr w:rsidR="00000000" w14:paraId="1A1E75CE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94E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2DF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0,0489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F2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82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</w:tr>
      <w:tr w:rsidR="00000000" w14:paraId="7705D912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0D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1DF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0,0511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94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21,2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D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</w:tr>
      <w:tr w:rsidR="00000000" w14:paraId="07E0443D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81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1F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0,0502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03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21,3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54C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</w:tr>
      <w:tr w:rsidR="00000000" w14:paraId="309AB3E8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9C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720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0,0499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D5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21,3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5BC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</w:tr>
      <w:tr w:rsidR="00000000" w14:paraId="145C67AA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85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3E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0,0503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F1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21,3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1C7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21,4</w:t>
            </w:r>
          </w:p>
        </w:tc>
      </w:tr>
    </w:tbl>
    <w:p w14:paraId="38018F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EDB573F" w14:textId="74295E81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AA1EA6D" wp14:editId="1DF5A78C">
            <wp:extent cx="297180" cy="342900"/>
            <wp:effectExtent l="0" t="0" r="0" b="0"/>
            <wp:docPr id="26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0AB2C0C" wp14:editId="07500D3F">
            <wp:extent cx="655320" cy="335280"/>
            <wp:effectExtent l="0" t="0" r="0" b="0"/>
            <wp:docPr id="27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0,01271 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1C570AD" wp14:editId="63116640">
            <wp:extent cx="76200" cy="335280"/>
            <wp:effectExtent l="0" t="0" r="0" b="0"/>
            <wp:docPr id="28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EE953" w14:textId="540E78DA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1(теор)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E8045AF" wp14:editId="00D059B7">
            <wp:extent cx="365760" cy="213360"/>
            <wp:effectExtent l="0" t="0" r="0" b="0"/>
            <wp:docPr id="29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9FE242F" wp14:editId="448C1CD6">
            <wp:extent cx="228600" cy="304800"/>
            <wp:effectExtent l="0" t="0" r="0" b="0"/>
            <wp:docPr id="30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</w:t>
      </w:r>
      <w:r>
        <w:rPr>
          <w:rFonts w:ascii="Times New Roman" w:hAnsi="Times New Roman" w:cs="Times New Roman"/>
          <w:kern w:val="0"/>
          <w:sz w:val="28"/>
          <w:szCs w:val="28"/>
        </w:rPr>
        <w:t>25×1,01 -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5BF2892" wp14:editId="419B30DF">
            <wp:extent cx="632460" cy="327660"/>
            <wp:effectExtent l="0" t="0" r="0" b="0"/>
            <wp:docPr id="31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21,3;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21,4</w:t>
      </w:r>
    </w:p>
    <w:p w14:paraId="6439DC08" w14:textId="10B48BCD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lastRenderedPageBreak/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2(теор)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1842881" wp14:editId="476F3798">
            <wp:extent cx="365760" cy="213360"/>
            <wp:effectExtent l="0" t="0" r="0" b="0"/>
            <wp:docPr id="32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612B0EF" wp14:editId="63206191">
            <wp:extent cx="228600" cy="304800"/>
            <wp:effectExtent l="0" t="0" r="0" b="0"/>
            <wp:docPr id="33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</w:t>
      </w:r>
      <w:r>
        <w:rPr>
          <w:rFonts w:ascii="Times New Roman" w:hAnsi="Times New Roman" w:cs="Times New Roman"/>
          <w:kern w:val="0"/>
          <w:sz w:val="28"/>
          <w:szCs w:val="28"/>
        </w:rPr>
        <w:t>25×1,01 -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61A9306" wp14:editId="1675DB8E">
            <wp:extent cx="632460" cy="312420"/>
            <wp:effectExtent l="0" t="0" r="0" b="0"/>
            <wp:docPr id="34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21,4;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21,6</w:t>
      </w:r>
    </w:p>
    <w:p w14:paraId="1ABB18AB" w14:textId="3378D7A3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3(теор)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4870A9F" wp14:editId="7C06FF30">
            <wp:extent cx="365760" cy="213360"/>
            <wp:effectExtent l="0" t="0" r="0" b="0"/>
            <wp:docPr id="35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BAF4D82" wp14:editId="32B6D0D7">
            <wp:extent cx="228600" cy="304800"/>
            <wp:effectExtent l="0" t="0" r="0" b="0"/>
            <wp:docPr id="36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</w:t>
      </w:r>
      <w:r>
        <w:rPr>
          <w:rFonts w:ascii="Times New Roman" w:hAnsi="Times New Roman" w:cs="Times New Roman"/>
          <w:kern w:val="0"/>
          <w:sz w:val="28"/>
          <w:szCs w:val="28"/>
        </w:rPr>
        <w:t>25×1,01 -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F3D1C3D" wp14:editId="4DD0F688">
            <wp:extent cx="632460" cy="327660"/>
            <wp:effectExtent l="0" t="0" r="0" b="0"/>
            <wp:docPr id="37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21,2;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21,3</w:t>
      </w:r>
    </w:p>
    <w:p w14:paraId="16AE11F8" w14:textId="35328514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4(теор)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67129D9" wp14:editId="4D118BF1">
            <wp:extent cx="365760" cy="213360"/>
            <wp:effectExtent l="0" t="0" r="0" b="0"/>
            <wp:docPr id="38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E5F53ED" wp14:editId="00BF4752">
            <wp:extent cx="228600" cy="304800"/>
            <wp:effectExtent l="0" t="0" r="0" b="0"/>
            <wp:docPr id="39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</w:t>
      </w:r>
      <w:r>
        <w:rPr>
          <w:rFonts w:ascii="Times New Roman" w:hAnsi="Times New Roman" w:cs="Times New Roman"/>
          <w:kern w:val="0"/>
          <w:sz w:val="28"/>
          <w:szCs w:val="28"/>
        </w:rPr>
        <w:t>25×1,01 -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A23B318" wp14:editId="581E3DC3">
            <wp:extent cx="632460" cy="327660"/>
            <wp:effectExtent l="0" t="0" r="0" b="0"/>
            <wp:docPr id="40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21,3;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21,5</w:t>
      </w:r>
    </w:p>
    <w:p w14:paraId="2EF41343" w14:textId="5E43FA2C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5(теор)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69A6D45" wp14:editId="13BD3FC4">
            <wp:extent cx="365760" cy="213360"/>
            <wp:effectExtent l="0" t="0" r="0" b="0"/>
            <wp:docPr id="4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D5EC9D4" wp14:editId="2C2A8284">
            <wp:extent cx="228600" cy="304800"/>
            <wp:effectExtent l="0" t="0" r="0" b="0"/>
            <wp:docPr id="42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</w:t>
      </w:r>
      <w:r>
        <w:rPr>
          <w:rFonts w:ascii="Times New Roman" w:hAnsi="Times New Roman" w:cs="Times New Roman"/>
          <w:kern w:val="0"/>
          <w:sz w:val="28"/>
          <w:szCs w:val="28"/>
        </w:rPr>
        <w:t>25×1,01 -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871BB16" wp14:editId="1FED2E6E">
            <wp:extent cx="632460" cy="312420"/>
            <wp:effectExtent l="0" t="0" r="0" b="0"/>
            <wp:docPr id="43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21,3;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21,5</w:t>
      </w:r>
    </w:p>
    <w:p w14:paraId="6493C5B5" w14:textId="0722809D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6(теор)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E22F223" wp14:editId="498825E4">
            <wp:extent cx="365760" cy="213360"/>
            <wp:effectExtent l="0" t="0" r="0" b="0"/>
            <wp:docPr id="44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DB01CED" wp14:editId="36F75D26">
            <wp:extent cx="228600" cy="304800"/>
            <wp:effectExtent l="0" t="0" r="0" b="0"/>
            <wp:docPr id="45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</w:t>
      </w:r>
      <w:r>
        <w:rPr>
          <w:rFonts w:ascii="Times New Roman" w:hAnsi="Times New Roman" w:cs="Times New Roman"/>
          <w:kern w:val="0"/>
          <w:sz w:val="28"/>
          <w:szCs w:val="28"/>
        </w:rPr>
        <w:t>25×1,01 -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852A5BC" wp14:editId="51FB5F79">
            <wp:extent cx="632460" cy="327660"/>
            <wp:effectExtent l="0" t="0" r="0" b="0"/>
            <wp:docPr id="46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21,3;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21,4</w:t>
      </w:r>
    </w:p>
    <w:p w14:paraId="14149ED4" w14:textId="0680A94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,% (1)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5ACFE07" wp14:editId="12594A36">
            <wp:extent cx="861060" cy="342900"/>
            <wp:effectExtent l="0" t="0" r="0" b="0"/>
            <wp:docPr id="47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х 100%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89A3F7E" wp14:editId="17E597A7">
            <wp:extent cx="1592580" cy="388620"/>
            <wp:effectExtent l="0" t="0" r="0" b="0"/>
            <wp:docPr id="48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× 100% = </w:t>
      </w:r>
      <w:r>
        <w:rPr>
          <w:rFonts w:ascii="Times New Roman CYR" w:hAnsi="Times New Roman CYR" w:cs="Times New Roman CYR"/>
          <w:kern w:val="0"/>
          <w:sz w:val="28"/>
          <w:szCs w:val="28"/>
        </w:rPr>
        <w:t>97</w:t>
      </w:r>
      <w:r>
        <w:rPr>
          <w:rFonts w:ascii="Calibri" w:hAnsi="Calibri" w:cs="Calibri"/>
          <w:kern w:val="0"/>
          <w:sz w:val="28"/>
          <w:szCs w:val="28"/>
        </w:rPr>
        <w:t>,</w:t>
      </w:r>
      <w:r>
        <w:rPr>
          <w:rFonts w:ascii="Times New Roman CYR" w:hAnsi="Times New Roman CYR" w:cs="Times New Roman CYR"/>
          <w:kern w:val="0"/>
          <w:sz w:val="28"/>
          <w:szCs w:val="28"/>
        </w:rPr>
        <w:t>7%</w:t>
      </w:r>
    </w:p>
    <w:p w14:paraId="761DD7F8" w14:textId="4CDB27AC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,% (2)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0827C4B" wp14:editId="64DEA7E0">
            <wp:extent cx="861060" cy="342900"/>
            <wp:effectExtent l="0" t="0" r="0" b="0"/>
            <wp:docPr id="49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х 100%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8E739F0" wp14:editId="6E799390">
            <wp:extent cx="1592580" cy="388620"/>
            <wp:effectExtent l="0" t="0" r="0" b="0"/>
            <wp:docPr id="50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8"/>
          <w:szCs w:val="28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</w:rPr>
        <w:t>100% = 94</w:t>
      </w:r>
      <w:r>
        <w:rPr>
          <w:rFonts w:ascii="Calibri" w:hAnsi="Calibri" w:cs="Calibri"/>
          <w:kern w:val="0"/>
          <w:sz w:val="28"/>
          <w:szCs w:val="28"/>
        </w:rPr>
        <w:t>,</w:t>
      </w:r>
      <w:r>
        <w:rPr>
          <w:rFonts w:ascii="Times New Roman CYR" w:hAnsi="Times New Roman CYR" w:cs="Times New Roman CYR"/>
          <w:kern w:val="0"/>
          <w:sz w:val="28"/>
          <w:szCs w:val="28"/>
        </w:rPr>
        <w:t>9%</w:t>
      </w:r>
    </w:p>
    <w:p w14:paraId="71F344B2" w14:textId="3D3E80F9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,% (3)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9A68D38" wp14:editId="5A16F193">
            <wp:extent cx="861060" cy="342900"/>
            <wp:effectExtent l="0" t="0" r="0" b="0"/>
            <wp:docPr id="51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х 100%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5847FCD" wp14:editId="4BEFD4DF">
            <wp:extent cx="1592580" cy="388620"/>
            <wp:effectExtent l="0" t="0" r="0" b="0"/>
            <wp:docPr id="52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×100% = 9</w:t>
      </w:r>
      <w:r>
        <w:rPr>
          <w:rFonts w:ascii="Times New Roman CYR" w:hAnsi="Times New Roman CYR" w:cs="Times New Roman CYR"/>
          <w:kern w:val="0"/>
          <w:sz w:val="28"/>
          <w:szCs w:val="28"/>
        </w:rPr>
        <w:t>8,2%</w:t>
      </w:r>
    </w:p>
    <w:p w14:paraId="1C9F4765" w14:textId="4359FAEC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,% (4)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727A8E1" wp14:editId="2CB8A9E2">
            <wp:extent cx="861060" cy="342900"/>
            <wp:effectExtent l="0" t="0" r="0" b="0"/>
            <wp:docPr id="53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х 100%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7866535" wp14:editId="6A2A9680">
            <wp:extent cx="1592580" cy="388620"/>
            <wp:effectExtent l="0" t="0" r="0" b="0"/>
            <wp:docPr id="54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8"/>
          <w:szCs w:val="28"/>
        </w:rPr>
        <w:t>×100%</w:t>
      </w:r>
      <w:r>
        <w:rPr>
          <w:rFonts w:ascii="Times New Roman CYR" w:hAnsi="Times New Roman CYR" w:cs="Times New Roman CYR"/>
          <w:kern w:val="0"/>
          <w:sz w:val="28"/>
          <w:szCs w:val="28"/>
        </w:rPr>
        <w:t>= 95</w:t>
      </w:r>
      <w:r>
        <w:rPr>
          <w:rFonts w:ascii="Calibri" w:hAnsi="Calibri" w:cs="Calibri"/>
          <w:kern w:val="0"/>
          <w:sz w:val="28"/>
          <w:szCs w:val="28"/>
        </w:rPr>
        <w:t>,0</w:t>
      </w:r>
      <w:r>
        <w:rPr>
          <w:rFonts w:ascii="Times New Roman CYR" w:hAnsi="Times New Roman CYR" w:cs="Times New Roman CYR"/>
          <w:kern w:val="0"/>
          <w:sz w:val="28"/>
          <w:szCs w:val="28"/>
        </w:rPr>
        <w:t>%</w:t>
      </w:r>
    </w:p>
    <w:p w14:paraId="2582A25E" w14:textId="60527E62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,% (5)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9E54ED7" wp14:editId="4540C1AA">
            <wp:extent cx="861060" cy="342900"/>
            <wp:effectExtent l="0" t="0" r="0" b="0"/>
            <wp:docPr id="55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х 100%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D0E4482" wp14:editId="72072276">
            <wp:extent cx="1592580" cy="388620"/>
            <wp:effectExtent l="0" t="0" r="0" b="0"/>
            <wp:docPr id="56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× 100% = </w:t>
      </w:r>
      <w:r>
        <w:rPr>
          <w:rFonts w:ascii="Times New Roman CYR" w:hAnsi="Times New Roman CYR" w:cs="Times New Roman CYR"/>
          <w:kern w:val="0"/>
          <w:sz w:val="28"/>
          <w:szCs w:val="28"/>
        </w:rPr>
        <w:t>95,5%</w:t>
      </w:r>
    </w:p>
    <w:p w14:paraId="1F9BBE3A" w14:textId="76D115BC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,% (6)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766DDC1" wp14:editId="2617B6EB">
            <wp:extent cx="861060" cy="342900"/>
            <wp:effectExtent l="0" t="0" r="0" b="0"/>
            <wp:docPr id="57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х 100%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0562D99" wp14:editId="7D4077A0">
            <wp:extent cx="1592580" cy="388620"/>
            <wp:effectExtent l="0" t="0" r="0" b="0"/>
            <wp:docPr id="58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8"/>
          <w:szCs w:val="28"/>
        </w:rPr>
        <w:t>×100% =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97,3%</w:t>
      </w:r>
    </w:p>
    <w:p w14:paraId="34DD74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417"/>
        <w:gridCol w:w="1276"/>
        <w:gridCol w:w="1985"/>
        <w:gridCol w:w="3260"/>
      </w:tblGrid>
      <w:tr w:rsidR="00000000" w14:paraId="5C7CB004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9FC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A5B4" w14:textId="357FD3A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g,% (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520236B" wp14:editId="6F9B57AF">
                  <wp:extent cx="106680" cy="175260"/>
                  <wp:effectExtent l="0" t="0" r="0" b="0"/>
                  <wp:docPr id="59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EC52" w14:textId="4DCFBE80" w:rsidR="00000000" w:rsidRDefault="00D71BF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CFB9BBB" wp14:editId="6379AC31">
                  <wp:extent cx="106680" cy="175260"/>
                  <wp:effectExtent l="0" t="0" r="0" b="0"/>
                  <wp:docPr id="60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  <w:t>-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B92494C" wp14:editId="1A389DAB">
                  <wp:extent cx="76200" cy="175260"/>
                  <wp:effectExtent l="0" t="0" r="0" b="0"/>
                  <wp:docPr id="61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AB811" w14:textId="17D438E1" w:rsidR="00000000" w:rsidRDefault="00D71BF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612C5E6" wp14:editId="3B78795A">
                  <wp:extent cx="495300" cy="175260"/>
                  <wp:effectExtent l="0" t="0" r="0" b="0"/>
                  <wp:docPr id="62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439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Метрологическая обработка</w:t>
            </w:r>
          </w:p>
        </w:tc>
      </w:tr>
      <w:tr w:rsidR="00000000" w14:paraId="053C049C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96E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371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9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  <w:r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F68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A3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A971" w14:textId="2A3F96D1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S =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693EC17F" wp14:editId="33F07184">
                  <wp:extent cx="464820" cy="335280"/>
                  <wp:effectExtent l="0" t="0" r="0" b="0"/>
                  <wp:docPr id="63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=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7922724" wp14:editId="56E1A575">
                  <wp:extent cx="327660" cy="335280"/>
                  <wp:effectExtent l="0" t="0" r="0" b="0"/>
                  <wp:docPr id="64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= 1, 47</w:t>
            </w:r>
            <w:r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  <w:t xml:space="preserve">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CF4492D" wp14:editId="0AAEC2BC">
                  <wp:extent cx="137160" cy="175260"/>
                  <wp:effectExtent l="0" t="0" r="0" b="0"/>
                  <wp:docPr id="65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= 2,16</w:t>
            </w:r>
            <w:r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  <w:t xml:space="preserve">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32A8068F" wp14:editId="6B0B2155">
                  <wp:extent cx="121920" cy="175260"/>
                  <wp:effectExtent l="0" t="0" r="0" b="0"/>
                  <wp:docPr id="66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=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310732A" wp14:editId="32BB9E3C">
                  <wp:extent cx="114300" cy="251460"/>
                  <wp:effectExtent l="0" t="0" r="0" b="0"/>
                  <wp:docPr id="67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=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91EFC94" wp14:editId="2FB2A10F">
                  <wp:extent cx="274320" cy="251460"/>
                  <wp:effectExtent l="0" t="0" r="0" b="0"/>
                  <wp:docPr id="68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= 0,6</w:t>
            </w:r>
            <w:r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 xml:space="preserve">Δx =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4CCB061" wp14:editId="66F15616">
                  <wp:extent cx="121920" cy="175260"/>
                  <wp:effectExtent l="0" t="0" r="0" b="0"/>
                  <wp:docPr id="69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 xml:space="preserve">×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0B974153" wp14:editId="009A3454">
                  <wp:extent cx="137160" cy="175260"/>
                  <wp:effectExtent l="0" t="0" r="0" b="0"/>
                  <wp:docPr id="70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= </w:t>
            </w:r>
            <w:r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  <w:t>0,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6×2,21 =1, 326</w:t>
            </w:r>
            <w:r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E =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4B1B696" wp14:editId="4FC9061D">
                  <wp:extent cx="106680" cy="236220"/>
                  <wp:effectExtent l="0" t="0" r="0" b="0"/>
                  <wp:docPr id="71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=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0B6837D" wp14:editId="7DD64004">
                  <wp:extent cx="228600" cy="251460"/>
                  <wp:effectExtent l="0" t="0" r="0" b="0"/>
                  <wp:docPr id="72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 xml:space="preserve"> ×10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0% = 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4%</w:t>
            </w:r>
          </w:p>
        </w:tc>
      </w:tr>
      <w:tr w:rsidR="00000000" w14:paraId="31C72E68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7C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FF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94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FA1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CF5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2,25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3DF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000000" w14:paraId="2CD76A70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C1C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66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98,2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703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F6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B5B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000000" w14:paraId="2617F9A1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B05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1F6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9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11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06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FE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000000" w14:paraId="1EBACC29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49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BC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95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54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CD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0,81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B77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000000" w14:paraId="4C1782B1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8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AF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97</w:t>
            </w:r>
            <w:r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FA6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00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  <w:t>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50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  <w:tr w:rsidR="00000000" w14:paraId="561CC955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DA6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B2A2" w14:textId="5A49759F" w:rsidR="00000000" w:rsidRDefault="00D71BF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4DF3AF0" wp14:editId="522115AD">
                  <wp:extent cx="76200" cy="175260"/>
                  <wp:effectExtent l="0" t="0" r="0" b="0"/>
                  <wp:docPr id="73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= 96</w:t>
            </w:r>
            <w:r w:rsidR="00000000"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E2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2F0FB" w14:textId="6051172E" w:rsidR="00000000" w:rsidRDefault="00D71BF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2E4CBA7" wp14:editId="6BEF8F15">
                  <wp:extent cx="563880" cy="175260"/>
                  <wp:effectExtent l="0" t="0" r="0" b="0"/>
                  <wp:docPr id="74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= 10</w:t>
            </w:r>
            <w:r w:rsidR="00000000"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  <w:t>,</w:t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7E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</w:tbl>
    <w:p w14:paraId="2964B0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6C770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Ошибка метода составила 1,4%</w:t>
      </w:r>
    </w:p>
    <w:p w14:paraId="7C2894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)Нитритометрия</w:t>
      </w:r>
    </w:p>
    <w:p w14:paraId="3BD58D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,05 г препарата (т.н.) растворяют в 2 мл воды и 2 мл разведенной соляной кислоты, добавляют 20-25 мл воды, 0,5 г бромида калия, 2-3 капли раствора индикатора нейтрального красного и при постоянном перемешивании титруют 0,1 М раствором нитрита натрия до изменения окраски от малиновой к синей. Титровать следует медленно, в конце титрования выдержку увеличивают до 2 мин.</w:t>
      </w:r>
    </w:p>
    <w:p w14:paraId="0AA423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мл 0,1М раствора нитрита натрия соответствует 0,02542 г сульфацила натрия.</w:t>
      </w:r>
    </w:p>
    <w:p w14:paraId="55FB77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393"/>
        <w:gridCol w:w="2393"/>
        <w:gridCol w:w="2393"/>
      </w:tblGrid>
      <w:tr w:rsidR="00000000" w14:paraId="1CCD7C24" w14:textId="77777777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B11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 взвешивания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273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а, г Навеска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D9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V,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мл Объем теоретический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EE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V,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мл Объем практический</w:t>
            </w:r>
          </w:p>
        </w:tc>
      </w:tr>
      <w:tr w:rsidR="00000000" w14:paraId="7444CA7F" w14:textId="77777777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21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152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0,0502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20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2,01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0A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2,0</w:t>
            </w:r>
          </w:p>
        </w:tc>
      </w:tr>
      <w:tr w:rsidR="00000000" w14:paraId="7D370EB8" w14:textId="77777777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95D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33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0,0502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B2D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2,01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D2D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2,0</w:t>
            </w:r>
          </w:p>
        </w:tc>
      </w:tr>
      <w:tr w:rsidR="00000000" w14:paraId="15EC2483" w14:textId="77777777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CA9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3C2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0,0498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D6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1,99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0F3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2,0</w:t>
            </w:r>
          </w:p>
        </w:tc>
      </w:tr>
      <w:tr w:rsidR="00000000" w14:paraId="651AC130" w14:textId="77777777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182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77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0,0501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529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2,01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984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2,0</w:t>
            </w:r>
          </w:p>
        </w:tc>
      </w:tr>
      <w:tr w:rsidR="00000000" w14:paraId="4D8C4D3D" w14:textId="77777777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43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08E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0,0499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D54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2,00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6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2,0</w:t>
            </w:r>
          </w:p>
        </w:tc>
      </w:tr>
      <w:tr w:rsidR="00000000" w14:paraId="37E24B71" w14:textId="77777777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BFE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D5F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0,0487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EA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1,96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F3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1,9</w:t>
            </w:r>
          </w:p>
        </w:tc>
      </w:tr>
    </w:tbl>
    <w:p w14:paraId="7F7511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kern w:val="0"/>
          <w:sz w:val="28"/>
          <w:szCs w:val="28"/>
        </w:rPr>
      </w:pPr>
    </w:p>
    <w:p w14:paraId="4920F7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 = 0,02542 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</w:t>
      </w:r>
    </w:p>
    <w:p w14:paraId="10C25D7C" w14:textId="5212344C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теор(1)=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E657D91" wp14:editId="38669295">
            <wp:extent cx="213360" cy="312420"/>
            <wp:effectExtent l="0" t="0" r="0" b="0"/>
            <wp:docPr id="75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68EEA7B" wp14:editId="1D7537A4">
            <wp:extent cx="800100" cy="350520"/>
            <wp:effectExtent l="0" t="0" r="0" b="0"/>
            <wp:docPr id="7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2,01;</w:t>
      </w:r>
    </w:p>
    <w:p w14:paraId="0B891BF1" w14:textId="4C83F4B1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теор(2)=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3C66379" wp14:editId="0F690F7D">
            <wp:extent cx="213360" cy="312420"/>
            <wp:effectExtent l="0" t="0" r="0" b="0"/>
            <wp:docPr id="7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CE2FD4A" wp14:editId="394BC0CD">
            <wp:extent cx="800100" cy="350520"/>
            <wp:effectExtent l="0" t="0" r="0" b="0"/>
            <wp:docPr id="7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2,01;</w:t>
      </w:r>
    </w:p>
    <w:p w14:paraId="2601A161" w14:textId="1DA4CA73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теор(3)=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B1BBBAE" wp14:editId="71567A75">
            <wp:extent cx="213360" cy="312420"/>
            <wp:effectExtent l="0" t="0" r="0" b="0"/>
            <wp:docPr id="7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1FBB3BE" wp14:editId="16983DF6">
            <wp:extent cx="800100" cy="350520"/>
            <wp:effectExtent l="0" t="0" r="0" b="0"/>
            <wp:docPr id="8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1,99;</w:t>
      </w:r>
    </w:p>
    <w:p w14:paraId="2798BBE4" w14:textId="08020D8B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теор(4)=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02B35FA" wp14:editId="0E12F307">
            <wp:extent cx="213360" cy="312420"/>
            <wp:effectExtent l="0" t="0" r="0" b="0"/>
            <wp:docPr id="8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4C262E8" wp14:editId="3B364D88">
            <wp:extent cx="800100" cy="350520"/>
            <wp:effectExtent l="0" t="0" r="0" b="0"/>
            <wp:docPr id="8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2,01;</w:t>
      </w:r>
    </w:p>
    <w:p w14:paraId="296CCF67" w14:textId="40033B32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теор(5)=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05922C5" wp14:editId="2230AA55">
            <wp:extent cx="213360" cy="312420"/>
            <wp:effectExtent l="0" t="0" r="0" b="0"/>
            <wp:docPr id="83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697A228" wp14:editId="6C9F3E5A">
            <wp:extent cx="800100" cy="350520"/>
            <wp:effectExtent l="0" t="0" r="0" b="0"/>
            <wp:docPr id="84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2,00;</w:t>
      </w:r>
    </w:p>
    <w:p w14:paraId="4E5D7763" w14:textId="51C41AF6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теор(6)=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234CC94" wp14:editId="7A05F63A">
            <wp:extent cx="213360" cy="312420"/>
            <wp:effectExtent l="0" t="0" r="0" b="0"/>
            <wp:docPr id="85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E99215C" wp14:editId="5A7F7567">
            <wp:extent cx="800100" cy="350520"/>
            <wp:effectExtent l="0" t="0" r="0" b="0"/>
            <wp:docPr id="86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1,96;</w:t>
      </w:r>
    </w:p>
    <w:p w14:paraId="72B9EA0D" w14:textId="3ED15490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lastRenderedPageBreak/>
        <w:t>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,% (1)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3A186DC" wp14:editId="782BAE79">
            <wp:extent cx="259080" cy="335280"/>
            <wp:effectExtent l="0" t="0" r="0" b="0"/>
            <wp:docPr id="87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х 100%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6BF87DB" wp14:editId="6A6C351A">
            <wp:extent cx="1135380" cy="350520"/>
            <wp:effectExtent l="0" t="0" r="0" b="0"/>
            <wp:docPr id="8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× 100% = 99,2%</w:t>
      </w:r>
    </w:p>
    <w:p w14:paraId="6154F3CD" w14:textId="226F4A98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,% (2)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CCB9F8C" wp14:editId="5AE51BFB">
            <wp:extent cx="259080" cy="335280"/>
            <wp:effectExtent l="0" t="0" r="0" b="0"/>
            <wp:docPr id="89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х 100%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AB4802C" wp14:editId="2D316B0A">
            <wp:extent cx="1135380" cy="350520"/>
            <wp:effectExtent l="0" t="0" r="0" b="0"/>
            <wp:docPr id="90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×</w:t>
      </w:r>
      <w:r>
        <w:rPr>
          <w:rFonts w:ascii="Times New Roman CYR" w:hAnsi="Times New Roman CYR" w:cs="Times New Roman CYR"/>
          <w:kern w:val="0"/>
          <w:sz w:val="28"/>
          <w:szCs w:val="28"/>
        </w:rPr>
        <w:t>100% = 99,2%</w:t>
      </w:r>
    </w:p>
    <w:p w14:paraId="1319DBB6" w14:textId="0C633600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,% (3)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9A5E850" wp14:editId="65F1E821">
            <wp:extent cx="259080" cy="335280"/>
            <wp:effectExtent l="0" t="0" r="0" b="0"/>
            <wp:docPr id="9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х 100%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CCDEDC0" wp14:editId="77F8A452">
            <wp:extent cx="1135380" cy="350520"/>
            <wp:effectExtent l="0" t="0" r="0" b="0"/>
            <wp:docPr id="9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×100% =100,0%</w:t>
      </w:r>
    </w:p>
    <w:p w14:paraId="620E9F98" w14:textId="4700C7A0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,% (4)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326AA6D" wp14:editId="1BEF50F0">
            <wp:extent cx="259080" cy="335280"/>
            <wp:effectExtent l="0" t="0" r="0" b="0"/>
            <wp:docPr id="9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х 100%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D6502F8" wp14:editId="3DF9D7E1">
            <wp:extent cx="1135380" cy="350520"/>
            <wp:effectExtent l="0" t="0" r="0" b="0"/>
            <wp:docPr id="9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×100% = 99,4%</w:t>
      </w:r>
    </w:p>
    <w:p w14:paraId="660D7930" w14:textId="7B2F8DBC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,% (5)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72FC918" wp14:editId="42F2E45D">
            <wp:extent cx="259080" cy="335280"/>
            <wp:effectExtent l="0" t="0" r="0" b="0"/>
            <wp:docPr id="95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х 100%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F42983A" wp14:editId="6E156DE4">
            <wp:extent cx="1135380" cy="350520"/>
            <wp:effectExtent l="0" t="0" r="0" b="0"/>
            <wp:docPr id="96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× 100% = 99,8%</w:t>
      </w:r>
    </w:p>
    <w:p w14:paraId="2DEF00A7" w14:textId="3C2F71B5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,% (6)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8D6C23D" wp14:editId="27993914">
            <wp:extent cx="259080" cy="335280"/>
            <wp:effectExtent l="0" t="0" r="0" b="0"/>
            <wp:docPr id="9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х 100%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1E6577B" wp14:editId="0F70D036">
            <wp:extent cx="1135380" cy="350520"/>
            <wp:effectExtent l="0" t="0" r="0" b="0"/>
            <wp:docPr id="9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×100% =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97,2%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417"/>
        <w:gridCol w:w="1276"/>
        <w:gridCol w:w="1985"/>
        <w:gridCol w:w="3402"/>
      </w:tblGrid>
      <w:tr w:rsidR="00000000" w14:paraId="78AE7FF3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4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94113" w14:textId="735119BD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g,% (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0CB6E1CD" wp14:editId="5891FAD8">
                  <wp:extent cx="106680" cy="175260"/>
                  <wp:effectExtent l="0" t="0" r="0" b="0"/>
                  <wp:docPr id="99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4601" w14:textId="28FAB096" w:rsidR="00000000" w:rsidRDefault="00D71BF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F014053" wp14:editId="3028D185">
                  <wp:extent cx="106680" cy="175260"/>
                  <wp:effectExtent l="0" t="0" r="0" b="0"/>
                  <wp:docPr id="100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  <w:t>-</w:t>
            </w: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E0D9B99" wp14:editId="3D6D864F">
                  <wp:extent cx="76200" cy="175260"/>
                  <wp:effectExtent l="0" t="0" r="0" b="0"/>
                  <wp:docPr id="101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44E82" w14:textId="64C46C2A" w:rsidR="00000000" w:rsidRDefault="00D71BF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B17288D" wp14:editId="2458265C">
                  <wp:extent cx="495300" cy="175260"/>
                  <wp:effectExtent l="0" t="0" r="0" b="0"/>
                  <wp:docPr id="102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A9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Метрологическая обработка</w:t>
            </w:r>
          </w:p>
        </w:tc>
      </w:tr>
      <w:tr w:rsidR="00000000" w14:paraId="38151604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F7C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56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99,2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67D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F3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4D967" w14:textId="42AF026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S =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27B9F9C" wp14:editId="7760411E">
                  <wp:extent cx="464820" cy="335280"/>
                  <wp:effectExtent l="0" t="0" r="0" b="0"/>
                  <wp:docPr id="103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=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BA6FD37" wp14:editId="4F2C6EA6">
                  <wp:extent cx="266700" cy="335280"/>
                  <wp:effectExtent l="0" t="0" r="0" b="0"/>
                  <wp:docPr id="104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= 1,0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04CDCC7" wp14:editId="152416CF">
                  <wp:extent cx="137160" cy="175260"/>
                  <wp:effectExtent l="0" t="0" r="0" b="0"/>
                  <wp:docPr id="105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= 1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FBEA82B" wp14:editId="73EFB76E">
                  <wp:extent cx="121920" cy="175260"/>
                  <wp:effectExtent l="0" t="0" r="0" b="0"/>
                  <wp:docPr id="10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=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6046466C" wp14:editId="37F2829B">
                  <wp:extent cx="114300" cy="251460"/>
                  <wp:effectExtent l="0" t="0" r="0" b="0"/>
                  <wp:docPr id="107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=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03087E0C" wp14:editId="5D35F9B8">
                  <wp:extent cx="274320" cy="251460"/>
                  <wp:effectExtent l="0" t="0" r="0" b="0"/>
                  <wp:docPr id="10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= 0,4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 xml:space="preserve">Δx =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7D8398B" wp14:editId="5806AC51">
                  <wp:extent cx="121920" cy="175260"/>
                  <wp:effectExtent l="0" t="0" r="0" b="0"/>
                  <wp:docPr id="10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 xml:space="preserve">×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3D2489A0" wp14:editId="659BECB5">
                  <wp:extent cx="137160" cy="175260"/>
                  <wp:effectExtent l="0" t="0" r="0" b="0"/>
                  <wp:docPr id="110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 xml:space="preserve"> = 0,4×2,21 = 0,88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E =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3DC0A0E8" wp14:editId="5F04575A">
                  <wp:extent cx="106680" cy="236220"/>
                  <wp:effectExtent l="0" t="0" r="0" b="0"/>
                  <wp:docPr id="11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= </w:t>
            </w:r>
            <w:r w:rsidR="00D71BFD"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1E9BFB2" wp14:editId="55B170EC">
                  <wp:extent cx="220980" cy="251460"/>
                  <wp:effectExtent l="0" t="0" r="0" b="0"/>
                  <wp:docPr id="11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 xml:space="preserve"> ×100% = 0,89%</w:t>
            </w:r>
          </w:p>
        </w:tc>
      </w:tr>
      <w:tr w:rsidR="00000000" w14:paraId="1864DF7C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A69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88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99,2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5EC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206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70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62B253E1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E59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83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86C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57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0,81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E4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2E53A27C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8C4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63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99,4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DA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E5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3B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5A7E981D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38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E1B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99,8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2B6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D2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0,49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B2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650127DA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E73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E6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10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C9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3,61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2A7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3F84FC08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B9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8AE7" w14:textId="0E2C5F1A" w:rsidR="00000000" w:rsidRDefault="00D71BF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F6BDA38" wp14:editId="1EFDEAFB">
                  <wp:extent cx="76200" cy="175260"/>
                  <wp:effectExtent l="0" t="0" r="0" b="0"/>
                  <wp:docPr id="11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= 99,1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B3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94CBC" w14:textId="18290BD4" w:rsidR="00000000" w:rsidRDefault="00D71BF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079F65EC" wp14:editId="408DBA18">
                  <wp:extent cx="563880" cy="175260"/>
                  <wp:effectExtent l="0" t="0" r="0" b="0"/>
                  <wp:docPr id="11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= 5,02</w:t>
            </w:r>
            <w:r w:rsidR="00000000">
              <w:rPr>
                <w:rFonts w:ascii="Calibri" w:hAnsi="Calibri" w:cs="Calibri"/>
                <w:kern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AA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</w:tr>
    </w:tbl>
    <w:p w14:paraId="6BC59B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kern w:val="0"/>
          <w:sz w:val="28"/>
          <w:szCs w:val="28"/>
        </w:rPr>
      </w:pPr>
    </w:p>
    <w:p w14:paraId="16E084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Ошибка метода составила 0,89%</w:t>
      </w:r>
    </w:p>
    <w:p w14:paraId="3E5324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Вывод: ошибка определение сульфацила-натрия в методе нитритометрии составила 0, 89%, ошибка определения в методе броматометрия - 1,4%.</w:t>
      </w:r>
    </w:p>
    <w:p w14:paraId="16A4A5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 основании проведенной статистической обработки результатов, сравним методы количественного определения по воспроизводимости. Для этого необходимо вычислить критерий Фишера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>:</w:t>
      </w:r>
    </w:p>
    <w:p w14:paraId="457D08B3" w14:textId="576A6876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915BE78" wp14:editId="0264284B">
            <wp:extent cx="144780" cy="403860"/>
            <wp:effectExtent l="0" t="0" r="0" b="0"/>
            <wp:docPr id="1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, </w:t>
      </w:r>
    </w:p>
    <w:p w14:paraId="68C391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kern w:val="0"/>
          <w:sz w:val="28"/>
          <w:szCs w:val="28"/>
        </w:rPr>
      </w:pPr>
    </w:p>
    <w:p w14:paraId="31C2BF5D" w14:textId="60B9F60E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где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238A9C2" wp14:editId="32B83AF1">
            <wp:extent cx="182880" cy="251460"/>
            <wp:effectExtent l="0" t="0" r="0" b="0"/>
            <wp:docPr id="1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2D538BD" wp14:editId="73162E23">
            <wp:extent cx="182880" cy="251460"/>
            <wp:effectExtent l="0" t="0" r="0" b="0"/>
            <wp:docPr id="1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это дисперсии методов нитритометрии и броматометрии соответственно.</w:t>
      </w:r>
    </w:p>
    <w:p w14:paraId="17343372" w14:textId="2D5C2268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Критерий Фишера характеризует при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8EE8C83" wp14:editId="43AF0B95">
            <wp:extent cx="182880" cy="251460"/>
            <wp:effectExtent l="0" t="0" r="0" b="0"/>
            <wp:docPr id="1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&gt;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291867B" wp14:editId="06DA103E">
            <wp:extent cx="182880" cy="251460"/>
            <wp:effectExtent l="0" t="0" r="0" b="0"/>
            <wp:docPr id="11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достоверность различия между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3E1177D" wp14:editId="77262496">
            <wp:extent cx="182880" cy="251460"/>
            <wp:effectExtent l="0" t="0" r="0" b="0"/>
            <wp:docPr id="1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D4F0B85" wp14:editId="5E972D6D">
            <wp:extent cx="182880" cy="251460"/>
            <wp:effectExtent l="0" t="0" r="0" b="0"/>
            <wp:docPr id="1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65C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kern w:val="0"/>
          <w:sz w:val="28"/>
          <w:szCs w:val="28"/>
          <w:lang w:val="en-US"/>
        </w:rPr>
      </w:pPr>
    </w:p>
    <w:p w14:paraId="31255A8D" w14:textId="7EF555A6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C79E9D9" wp14:editId="4A3C1B6F">
            <wp:extent cx="251460" cy="335280"/>
            <wp:effectExtent l="0" t="0" r="0" b="0"/>
            <wp:docPr id="1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2,16</w:t>
      </w:r>
    </w:p>
    <w:p w14:paraId="010F9D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kern w:val="0"/>
          <w:sz w:val="28"/>
          <w:szCs w:val="28"/>
        </w:rPr>
      </w:pPr>
    </w:p>
    <w:p w14:paraId="4F0DAB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Вычисленное значение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сравнивают с табличным значением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1;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>2), найденном при Р=99%.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Calibri" w:hAnsi="Calibri" w:cs="Calibri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>1 = 5).</w:t>
      </w:r>
    </w:p>
    <w:p w14:paraId="5A888D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Табличное значение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(99%; 5; 5) = 10,97</w:t>
      </w:r>
    </w:p>
    <w:p w14:paraId="43ADBD64" w14:textId="540FA47A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&lt;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(99%; 5; 5), следовательно различие дисперсий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C0CFF7A" wp14:editId="778568BA">
            <wp:extent cx="182880" cy="251460"/>
            <wp:effectExtent l="0" t="0" r="0" b="0"/>
            <wp:docPr id="1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 w:rsidR="00D71BFD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9B1B666" wp14:editId="215B9C25">
            <wp:extent cx="182880" cy="251460"/>
            <wp:effectExtent l="0" t="0" r="0" b="0"/>
            <wp:docPr id="1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признается</w:t>
      </w:r>
    </w:p>
    <w:p w14:paraId="7B477A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Заключение</w:t>
      </w:r>
    </w:p>
    <w:p w14:paraId="003CCDE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7B4BD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результате проведенной практической работы по сравнительной характеристике качественных и количественных методов определения сульфацил-натрия, была изучена литература, а также различные методики качественного и количественного определения. Установлено, что большинство методов качественного определения воспроизводимы и дают ярко выраженный аналитический эффект. В качестве количественных методов определения субстанции сульфацил-натрия, были приведены методы нитритометрии и броматометрии. Данные методы были проведены практически и затем прошли статистическую обработку: в методе нитритометрии ошибка составила 0,89%. В методе броматометрии ошибка составила 1,4%. Оба метода имеют достаточно низкий процент ошибки, что подтверждает их состоятельность. Это свидетельствует о том что данные методы количественного и качественного определения сульфацил-натрия могут быть использованы в фармацевтическом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анализе.</w:t>
      </w:r>
    </w:p>
    <w:p w14:paraId="2BC9B3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73F243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Список литературы</w:t>
      </w:r>
    </w:p>
    <w:p w14:paraId="300D0F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205C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Арзамасцев А.П. (ред.). Руководство к лабораторным занятиям по фармацевтической химии. Учебное пособие. -3-е изд, перераб. и доп. - М.: Медицина, 2011. - 348 с.</w:t>
      </w:r>
    </w:p>
    <w:p w14:paraId="749170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Беликов В.Г., Вергейчик Е.Н., Годяцкий В.Е. и др. Лабораторные работы по фармацевтической химии. Практические указания к лабораторным работам по фармацевтической химии. - М.: Высш. шк., 1989. - 375 с.</w:t>
      </w:r>
    </w:p>
    <w:p w14:paraId="0A8E57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Беликов В.Г. Фармацевтическая химия. Учебное пособие . - М.: МЕДпресс-информ, 2008. - 309с.</w:t>
      </w:r>
    </w:p>
    <w:p w14:paraId="11BBBE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Государственная фармакопея СССР. - 10-е издание. - М.: Медицина, 1968 г.</w:t>
      </w:r>
    </w:p>
    <w:p w14:paraId="6A768B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Семенова П.Л. Руководство к лабораторным занятиям по фармацевтической химии , 1978.</w:t>
      </w:r>
    </w:p>
    <w:p w14:paraId="60D68A74" w14:textId="77777777" w:rsidR="001B177E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Максютина Н.П., Каган Ф. Е., Митченко Ф.А. и др. Анализ фармацевтических препаратов и лекарственных форм. - Киев: Здоровье, 2010.</w:t>
      </w:r>
    </w:p>
    <w:sectPr w:rsidR="001B177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BFD"/>
    <w:rsid w:val="001B177E"/>
    <w:rsid w:val="009541D4"/>
    <w:rsid w:val="00D7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A4087B"/>
  <w14:defaultImageDpi w14:val="0"/>
  <w15:docId w15:val="{1CF502BA-AF05-4B0B-8921-7F1E4DF8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wmf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theme" Target="theme/theme1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wmf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wmf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3258</Words>
  <Characters>18571</Characters>
  <Application>Microsoft Office Word</Application>
  <DocSecurity>0</DocSecurity>
  <Lines>154</Lines>
  <Paragraphs>43</Paragraphs>
  <ScaleCrop>false</ScaleCrop>
  <Company/>
  <LinksUpToDate>false</LinksUpToDate>
  <CharactersWithSpaces>21786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2025-12-12T07:37:00Z</dcterms:created>
  <dcterms:modified xsi:type="dcterms:W3CDTF">2025-12-12T07:37:00Z</dcterms:modified>
</cp:coreProperties>
</file>