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14254" w14:textId="77777777" w:rsidR="00000000" w:rsidRDefault="000000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Республики Беларусь</w:t>
      </w:r>
    </w:p>
    <w:p w14:paraId="08DA6C9B" w14:textId="77777777" w:rsidR="00000000" w:rsidRDefault="000000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Учреждение образования</w:t>
      </w:r>
    </w:p>
    <w:p w14:paraId="3E8532DA" w14:textId="77777777" w:rsidR="00000000" w:rsidRDefault="000000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«Могилевский государственный университет имени А.А. Кулешова»</w:t>
      </w:r>
    </w:p>
    <w:p w14:paraId="16FCA60C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757ACD75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0328FD11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56811685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3149BFA4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7549C074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29692617" w14:textId="77777777" w:rsidR="00000000" w:rsidRDefault="00000000">
      <w:pPr>
        <w:tabs>
          <w:tab w:val="left" w:pos="2469"/>
        </w:tabs>
        <w:spacing w:line="360" w:lineRule="auto"/>
        <w:jc w:val="center"/>
        <w:rPr>
          <w:sz w:val="28"/>
          <w:szCs w:val="28"/>
        </w:rPr>
      </w:pPr>
    </w:p>
    <w:p w14:paraId="41E71540" w14:textId="77777777" w:rsidR="00000000" w:rsidRDefault="00000000">
      <w:pPr>
        <w:tabs>
          <w:tab w:val="left" w:pos="2469"/>
        </w:tabs>
        <w:spacing w:line="360" w:lineRule="auto"/>
        <w:jc w:val="center"/>
        <w:rPr>
          <w:sz w:val="28"/>
          <w:szCs w:val="28"/>
        </w:rPr>
      </w:pPr>
    </w:p>
    <w:p w14:paraId="59270A5F" w14:textId="77777777" w:rsidR="00000000" w:rsidRDefault="00000000">
      <w:pPr>
        <w:tabs>
          <w:tab w:val="left" w:pos="2469"/>
        </w:tabs>
        <w:spacing w:line="360" w:lineRule="auto"/>
        <w:jc w:val="center"/>
        <w:rPr>
          <w:sz w:val="28"/>
          <w:szCs w:val="28"/>
        </w:rPr>
      </w:pPr>
    </w:p>
    <w:p w14:paraId="49C5BB59" w14:textId="77777777" w:rsidR="00000000" w:rsidRDefault="00000000">
      <w:pPr>
        <w:tabs>
          <w:tab w:val="left" w:pos="2469"/>
        </w:tabs>
        <w:spacing w:line="360" w:lineRule="auto"/>
        <w:jc w:val="center"/>
        <w:rPr>
          <w:sz w:val="28"/>
          <w:szCs w:val="28"/>
        </w:rPr>
      </w:pPr>
    </w:p>
    <w:p w14:paraId="41B12132" w14:textId="77777777" w:rsidR="00000000" w:rsidRDefault="00000000">
      <w:pPr>
        <w:tabs>
          <w:tab w:val="left" w:pos="2469"/>
        </w:tabs>
        <w:spacing w:line="360" w:lineRule="auto"/>
        <w:jc w:val="center"/>
        <w:rPr>
          <w:sz w:val="28"/>
          <w:szCs w:val="28"/>
        </w:rPr>
      </w:pPr>
    </w:p>
    <w:p w14:paraId="4353492A" w14:textId="77777777" w:rsidR="00000000" w:rsidRDefault="00000000">
      <w:pPr>
        <w:tabs>
          <w:tab w:val="left" w:pos="246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Курсовая работа</w:t>
      </w:r>
    </w:p>
    <w:p w14:paraId="6D2AAD77" w14:textId="77777777" w:rsidR="00000000" w:rsidRDefault="00000000">
      <w:pPr>
        <w:tabs>
          <w:tab w:val="left" w:pos="246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аналитической химии</w:t>
      </w:r>
    </w:p>
    <w:p w14:paraId="194DACF0" w14:textId="77777777" w:rsidR="00000000" w:rsidRDefault="000000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Определение содержания железа +2 в керамических образцах</w:t>
      </w:r>
    </w:p>
    <w:p w14:paraId="53F02CA8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3FEE0F15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2AC5819B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7609DD24" w14:textId="77777777" w:rsidR="00000000" w:rsidRDefault="00000000">
      <w:pPr>
        <w:tabs>
          <w:tab w:val="left" w:pos="246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Студентки</w:t>
      </w:r>
    </w:p>
    <w:p w14:paraId="73759301" w14:textId="77777777" w:rsidR="00000000" w:rsidRDefault="00000000">
      <w:pPr>
        <w:tabs>
          <w:tab w:val="left" w:pos="246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Иванова Н.Д.</w:t>
      </w:r>
    </w:p>
    <w:p w14:paraId="009580FB" w14:textId="77777777" w:rsidR="00000000" w:rsidRDefault="00000000">
      <w:pPr>
        <w:tabs>
          <w:tab w:val="left" w:pos="246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Научный руководитель</w:t>
      </w:r>
    </w:p>
    <w:p w14:paraId="0281DB27" w14:textId="77777777" w:rsidR="00000000" w:rsidRDefault="00000000">
      <w:pPr>
        <w:tabs>
          <w:tab w:val="left" w:pos="246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Пахоменко А.Н.</w:t>
      </w:r>
    </w:p>
    <w:p w14:paraId="4AC122F6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6E671AC1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047A587A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64A0E542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0B8803E0" w14:textId="77777777" w:rsidR="00000000" w:rsidRDefault="000000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Могилев 2012</w:t>
      </w:r>
    </w:p>
    <w:p w14:paraId="7C09554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Оглавление</w:t>
      </w:r>
    </w:p>
    <w:p w14:paraId="0D18974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36F36D0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14:paraId="5C9684C1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Виды содержания железа в природе</w:t>
      </w:r>
    </w:p>
    <w:p w14:paraId="156FCCFD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.1 Формы содержания железа в природе</w:t>
      </w:r>
    </w:p>
    <w:p w14:paraId="7D17B676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.2 Содержание железа в глине</w:t>
      </w:r>
    </w:p>
    <w:p w14:paraId="11BFC1AF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Пробы подготовки в анализе в твердых веществах и получение из природного сырья</w:t>
      </w:r>
    </w:p>
    <w:p w14:paraId="047610F3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.1 Измельчение материала</w:t>
      </w:r>
    </w:p>
    <w:p w14:paraId="4074DA7F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.2 Перевод железа (+2) в раствор</w:t>
      </w:r>
    </w:p>
    <w:p w14:paraId="5DEF1805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Методы определения железа в твердых материалах</w:t>
      </w:r>
    </w:p>
    <w:p w14:paraId="38796882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.1 Атомно-абсорбционный метод</w:t>
      </w:r>
    </w:p>
    <w:p w14:paraId="24AB2443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.2 Комплексонометрическое определение железа</w:t>
      </w:r>
    </w:p>
    <w:p w14:paraId="549ADA6E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.3.1 Применение окислительно-восстановительного титрования</w:t>
      </w:r>
    </w:p>
    <w:p w14:paraId="53BAA1B9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.3.2 Пермангонатометрическое определение железа</w:t>
      </w:r>
    </w:p>
    <w:p w14:paraId="39DB2866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.3.3 Конечная точка титрования</w:t>
      </w:r>
    </w:p>
    <w:p w14:paraId="27A9A401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 Экспериментальная часть</w:t>
      </w:r>
    </w:p>
    <w:p w14:paraId="320570C3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.1 Определение Fe2+ в керамических изделиях</w:t>
      </w:r>
    </w:p>
    <w:p w14:paraId="15C3BDBD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.2 Расчеты, полученные в результате опыта</w:t>
      </w:r>
    </w:p>
    <w:p w14:paraId="1152A76C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14:paraId="2AED90B5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Список использованной литературы</w:t>
      </w:r>
    </w:p>
    <w:p w14:paraId="76D54B9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FC2BA6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Введение</w:t>
      </w:r>
    </w:p>
    <w:p w14:paraId="1C75B85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B2DC0F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использовании глины для получения керамических изделий сырье подвергается обжигу при высокой температуре.</w:t>
      </w:r>
    </w:p>
    <w:p w14:paraId="55518C8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Глины содержат значительное количество примесей железа. При обжиге степень окисления железа переходит либо в + 3 либо в + 2, и это зависит от окислительной или восстановительной атмосферы в обжиговой печи. Для некоторых керамических изделий важно знать сколько железа + 2 содержится в них. </w:t>
      </w:r>
    </w:p>
    <w:p w14:paraId="34887F4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Исходя из этого перед нами была поставлена цель: Определить содержание железа + 2 в предоставленных керамических образцах.</w:t>
      </w:r>
    </w:p>
    <w:p w14:paraId="738823D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14:paraId="48D3761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изучить литературу</w:t>
      </w:r>
    </w:p>
    <w:p w14:paraId="73658CB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отработать методику определения железа</w:t>
      </w:r>
    </w:p>
    <w:p w14:paraId="19D361A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содержание железа в образцах</w:t>
      </w:r>
    </w:p>
    <w:p w14:paraId="5D5721F5" w14:textId="77777777" w:rsidR="00000000" w:rsidRDefault="00000000">
      <w:pPr>
        <w:spacing w:line="360" w:lineRule="auto"/>
        <w:ind w:firstLine="709"/>
        <w:jc w:val="both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железо керамический природа</w:t>
      </w:r>
    </w:p>
    <w:p w14:paraId="72BE945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1. Виды содержания железа в природе</w:t>
      </w:r>
    </w:p>
    <w:p w14:paraId="144E7DE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240600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.1 Формы содержания железа в природе</w:t>
      </w:r>
    </w:p>
    <w:p w14:paraId="1AB0E25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EE79F0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Железо - элемент, абсолютно необходимый для жизни растений, без железа не образуется хлорофилла. В почвах железо встречается в составе минералов группы ферросиликатов, в виде гидроокислов, окислов, простых солей, а также ферро- и ферриорганических комплексных солей. Основная масса железа содержится в хлоропластах в виде фитоферритина. Оно принимает участие в процессе дыхания, восстановлении молекулярного азота и нитратов до аммиака, катализирует начальные этапы синтеза молекулы хлорофилла. Недостаток железа проявляется в пожелтении (хлорозе) листьев и снижении интенсивности окислительно-восстановительных процессов. Усваивается железо растением в виде ионов Fe </w:t>
      </w:r>
      <w:r>
        <w:rPr>
          <w:sz w:val="28"/>
          <w:szCs w:val="28"/>
          <w:vertAlign w:val="superscript"/>
        </w:rPr>
        <w:t>2 +</w:t>
      </w:r>
      <w:r>
        <w:rPr>
          <w:sz w:val="28"/>
          <w:szCs w:val="28"/>
        </w:rPr>
        <w:t xml:space="preserve">, которые в воде могут находиться только в виде хелатных соединений. Однако растения в какой-то мере могут восстанавливать Fe </w:t>
      </w:r>
      <w:r>
        <w:rPr>
          <w:sz w:val="28"/>
          <w:szCs w:val="28"/>
          <w:vertAlign w:val="superscript"/>
        </w:rPr>
        <w:t>3 +</w:t>
      </w:r>
      <w:r>
        <w:rPr>
          <w:sz w:val="28"/>
          <w:szCs w:val="28"/>
        </w:rPr>
        <w:t xml:space="preserve"> до Fe </w:t>
      </w:r>
      <w:r>
        <w:rPr>
          <w:sz w:val="28"/>
          <w:szCs w:val="28"/>
          <w:vertAlign w:val="superscript"/>
        </w:rPr>
        <w:t>2 +</w:t>
      </w:r>
      <w:r>
        <w:rPr>
          <w:sz w:val="28"/>
          <w:szCs w:val="28"/>
        </w:rPr>
        <w:t xml:space="preserve"> на поверхности корней с помощью катализатора Fe-редуктолазы.</w:t>
      </w:r>
    </w:p>
    <w:p w14:paraId="66CCF30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избытке железа затрудняется усвоение фосфора и марганца, и могут появляться симптомы нехватки этих элементов.</w:t>
      </w:r>
    </w:p>
    <w:p w14:paraId="5F94872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Среднее содержание железа в почвах составляет 3,8%. В составе почв в зависимости от кислотно-основных и окислительно-восстановительных условий железо может присутствовать в степени окисления + 3 и + 2. Принципиально возможно определение количества Fe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) и количества Fe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в почвах, но, как правило, при проведении валового анализа определяют общее содержание железа в почвах.</w:t>
      </w:r>
    </w:p>
    <w:p w14:paraId="60117F5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Этот элемент присутствует в почве в составе как первичных, так и вторичных минералов, являясь компонентом магнетика, гематита, титаномагнетита, глауконита, роговых обманок, пироксенов, биотитов, </w:t>
      </w:r>
      <w:r>
        <w:rPr>
          <w:sz w:val="28"/>
          <w:szCs w:val="28"/>
        </w:rPr>
        <w:lastRenderedPageBreak/>
        <w:t>хлоритов, глинистых минералов, минералов группы оксида железа. Много в почвах содержится и аморфных соединений железа, особенно разнообразных гидроксилов (гетит, гидрогетит и др.). Общее содержание в почве 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колеблется в очень широких пределах (в %): от 0,5 - 1,0 в кварцево-песчаных почвах и 3 - 5 в почвах на лессах, до 8 - 10 в почвах на элювии плотных ферромагнезиальных пород и до 20 - 50 в ферраллитных почвах и латеритах тропиков. </w:t>
      </w:r>
    </w:p>
    <w:p w14:paraId="1A4F11D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66C016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.2 Содержание железа в глине</w:t>
      </w:r>
    </w:p>
    <w:p w14:paraId="587FA5C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4070AA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Глина представляет собою коллоидный пластический материал вторичного происхождения, образовавшийся в результате распада и разложения некоторых видов первичных пород. Основной составной частью всех глин является водный силикат алюминия; он содержит, хотя преимущественно в небольшом количестве, различные естественные примеси, главным образом щелочи (в связанном, несвободном состоянии), соединения железа (в значительной степени определяющие цвет глины); карбонат кальция, органические вещества (гумус), кварцевый песок и воду. Количество и род примесей и обусловливают характер глины. Глина, употребляемая в наше время в Египте для изготовления гончарных изделий, бывает в основном двух сортов. Первый из них - коричневого или черноватого цвета в сыром состоянии и коричневато-серого - в сухом - содержит сравнительно высокий процент органических веществ и железистых соединений, а также колеблющееся количество песка. Эта глина при обжиге становится коричневой или красной. Второй - коричневато - серого цвета в сыром состоянии и серого цвета - в сухом - содержит очень мало органического вещества, но довольно высокий процент карбоната кальция; эта глина, которую называют известковой, или мергелем, приобретает при обжиге серый цвет.</w:t>
      </w:r>
    </w:p>
    <w:p w14:paraId="0D304FD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1745E5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2. Пробы подготовки в анализе твердых веществ и получение из природного сырья.</w:t>
      </w:r>
    </w:p>
    <w:p w14:paraId="385360D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1B78F1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.1 Измельчение материала</w:t>
      </w:r>
    </w:p>
    <w:p w14:paraId="29F8736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B6F92A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Материал, высушенный до постоянной массы, тщательно измельчаем в ступке для взятия точной навески.</w:t>
      </w:r>
    </w:p>
    <w:p w14:paraId="425ADE6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312C9F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.2 Перевод железа (+2) в раствор</w:t>
      </w:r>
    </w:p>
    <w:p w14:paraId="72DA090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19A242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коническую колбу на 250 мл наливают 100 мл серной кислоты. Колбу закрывают пробкой с двумя отверстиями, в которые вставлены стеклянные трубки согнутые под прямым углом. Одна из трубок (по ходу газа) доходит до дна колбы, вторая кончается под пробкой. Длинную трубку присоединяют к аппарату Киппа с углекислым газом. Открыв кран у аппарата, пропускают поток углекислого газа через колбу в течении 3 мин. В это время отвешивают на сухом часовом стекле 1-1,5 г навески материала. Приоткрыв пробку, быстро всыпают навеску в колбу не прекращая поток газа. Содержимое колбы кипятят 30 мин, пропуская при этом углекислый газ. Затем снимают колбу и не прекращая поток газа ее охлаждают. После чего отсоединяют колбу от аппарата Киппа, прибавляют 150 мл дистиллированной воды.</w:t>
      </w:r>
    </w:p>
    <w:p w14:paraId="016972F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56D1BB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3. Методы определения железа в твердых материалах</w:t>
      </w:r>
    </w:p>
    <w:p w14:paraId="05CC2F9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54A947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.1 Атомно-абсорбционный метод</w:t>
      </w:r>
    </w:p>
    <w:p w14:paraId="192D6BB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E8971C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количественного определения общего содержания железа в растворах, полученных при разложении почв, могут быть использованы разнообразные методы. Широко применяют атомно-абсорбционную спектроскопию, фотометрические методы и комплексонометрическое титрование. </w:t>
      </w:r>
    </w:p>
    <w:p w14:paraId="79DF425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Атомно-абсорбционный метод используют для определения валового содержания железа и оценки содержания отдельных групп его соединений в почвах. Железо атомно-абсорбционным методом может быть определено непосредственно в пламени воздух-ацетилен и воздух-пропан-бутан, если его концентрация близка или выше 1 мг/л. Растворы с более низкой концентрацией железа рекомендуется анализировать после концентрирования или непламенным вариантом атомно-абсорбционного метода с использованием графитовой кюветы.</w:t>
      </w:r>
    </w:p>
    <w:p w14:paraId="0500526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валового содержания железа проводят пламенным вариантом метода. При этом, как правило, приходится в десятки раз разбавлять растворы, полученные при разложении почвы. Атомно-абсорбционным методом железо обычно определяют при длине волны 248,3 нм.</w:t>
      </w:r>
    </w:p>
    <w:p w14:paraId="7865203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A90C02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.2 Комплексонометрическое определение железа</w:t>
      </w:r>
    </w:p>
    <w:p w14:paraId="7E29908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B9A99D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основу этого метода определения положено образование окрашенного в красный цвет раствора роданида железа: </w:t>
      </w:r>
    </w:p>
    <w:p w14:paraId="150D487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9A2CCC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perscript"/>
        </w:rPr>
        <w:t>3+</w:t>
      </w:r>
      <w:r>
        <w:rPr>
          <w:sz w:val="28"/>
          <w:szCs w:val="28"/>
        </w:rPr>
        <w:t>+ 3</w:t>
      </w:r>
      <w:r>
        <w:rPr>
          <w:sz w:val="28"/>
          <w:szCs w:val="28"/>
          <w:lang w:val="en-US"/>
        </w:rPr>
        <w:t>SCN</w:t>
      </w:r>
      <w:r>
        <w:rPr>
          <w:sz w:val="28"/>
          <w:szCs w:val="28"/>
          <w:vertAlign w:val="superscript"/>
        </w:rPr>
        <w:t>-</w:t>
      </w:r>
      <w:r>
        <w:rPr>
          <w:rFonts w:ascii="Times New Roman" w:hAnsi="Times New Roman" w:cs="Times New Roman"/>
          <w:sz w:val="28"/>
          <w:szCs w:val="28"/>
        </w:rPr>
        <w:t>↔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SCN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. (1)</w:t>
      </w:r>
    </w:p>
    <w:p w14:paraId="3596172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Это упрощенное уравнение. В действительности здесь образуется ряд железороданистых комплексов с разной интенсивностью окраски, поэтому непременным условием точного определения является прибавление большого и одинакового избытка реактива. Кроме того, реакция должна проходить в слабокислой среде во избежание гидролиза солей железа.</w:t>
      </w:r>
    </w:p>
    <w:p w14:paraId="5A03037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Приготовление стандартного раствора соли железа (III). Навеску 0,8640 г железо-аммонийных квасцов NH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Fe(S0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• 12Н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0 растворяют в мерной колбе на 1 л примерно в 200-250 мл воды, добавляют 30 мл химически чистой серной кислоты (1 : 5) и доводят объем водой до метки. Такой раствор содержит 0,1 мг железа в 1 мл. Если не имеется достаточно чистых и невывет-рившихся железо-аммонийных квасцов, раствор приготовляют приблизительной концентрации и определяют его точную концентрацию гравиметрически.</w:t>
      </w:r>
    </w:p>
    <w:p w14:paraId="40A9C7D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Приготовление 5 н. раствора роданида аммония NH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SCN. 370 г роданида аммония растворяют в дистиллированной воде и разбавляют раствор до 1 л.</w:t>
      </w:r>
    </w:p>
    <w:p w14:paraId="4C63B55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методом стандартного ряда. 10 мл стандартного раствора соли железа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), приготовленного заранее, помещают в мерную колбу на 100 мл и разбавляют водой до метки. Полученный раствор содержит 0,01 мг Fe в 1 мл раствора. Испытуемый раствор помещают в мерную колбу на 100 мл, разбавляют водой до метки и тщательно перемешивают. Берут 11 пробирок, в 10 из них помещают градуированной пипеткой новый разбавленный стандартный раствор в количестве 5,0; 4,5; 4,0; 3,5; 3,0; 2,5; 2,0; 1,5; 1,0; 0,5 мл; в одиннадцатую пробирку помещают 5 мл испытуемого раствора. В каждую пробирку добавляют 4 капли раствора НС1 (1:1) и 1мл (пипеткой) раствора роданида аммония NH4SCN. Содержимое каждой пробирки доводят водой до объема 10 мл и хорошо перемешивают.</w:t>
      </w:r>
    </w:p>
    <w:p w14:paraId="283042E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работа ведется в простых пробирках, то после прибавления всех реактивов в каждую пробирку из бюретки добавляется такое количество воды, чтобы общий объем составил 10 мл. Сравнивают окраску полученного раствора </w:t>
      </w:r>
      <w:r>
        <w:rPr>
          <w:sz w:val="28"/>
          <w:szCs w:val="28"/>
        </w:rPr>
        <w:lastRenderedPageBreak/>
        <w:t>с окраской растворов в пробирках шкалы. Если окраска исследуемого раствора совпадает с окраской раствора в какой-либо пробирке шкалы, то и концентрации этих растворов одинаковы. Если окраска исследуемого раствора интенсивнее, чем в одной из пробирок, но светлее, чем в соседней, то концентрацию исследуемого раствора можно считать средней между концентрациями растворов в этих пробирках.</w:t>
      </w:r>
    </w:p>
    <w:p w14:paraId="5E82E37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методом уравнивания окраски. В мерную колбу объемом 100 мл помещают 3 мл стандартного раствора соли железа (III), а в другую - испытуемый раствор. Затем в обе колбы добавляют воды до половины колбы, 10 капель соляной кислоты (1:1) и 2 мл 5 н. раствора роданида аммония NH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SCN. Доводят содержимое водой до метки, закрывают пробкой и перемешивают, переворачивая колбу 12 раз.</w:t>
      </w:r>
    </w:p>
    <w:p w14:paraId="5E5D46B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Стандартный раствор наливают в цилиндр Генера и устанавливают определенную высоту столба (на середине цилиндра). В другой цилиндр наливают испытуемый раствор. Предварительно каждый цилиндр споласкивают тем окрашенным раствором, который будут в него наливать. Меняя высоту столба испытуемого раствора, уравнивают интенсивность окраски в обоих цилиндрах. Определяют высоту столба испытуемого раствора. Определение повторяют два раза и берут среднюю величину. По формуле рассчитывают количество железа в испытуемом растворе.</w:t>
      </w:r>
    </w:p>
    <w:p w14:paraId="3B6F99D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на ФЭКе. В мерную колбу объемом 50 мл помещают точно отмеренное количество раствора неизвестной концентрации, 5 капель НС1 (1 : 1), добавляют воды до половины колбы и 1 мл 5 н. раствора NH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SCN. Доводят содержимое колбы водой до метки и перемешивают. Определяют оптическую плотность раствора на ФЭКе, как описано выше, применяя зеленый светофильтр. По градуировочной кривой определяют количество железа в испытуемом растворе.</w:t>
      </w:r>
    </w:p>
    <w:p w14:paraId="436D135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A8BA25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3.3.1 Применение окислительно-восстановительного титрования</w:t>
      </w:r>
    </w:p>
    <w:p w14:paraId="69E06E4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Окислительно-восстановительное титрование основано на взаимодействии определяемого вещества со стандартным раствором окислителя или восстановителя. Чтобы титрование имело смысл, определяемое вещество перед началом титрования должно полностью существовать в единственной степени окисления. Для выполнения этого условия часто требуется вспомогательный окислитель или восстановитель.</w:t>
      </w:r>
    </w:p>
    <w:p w14:paraId="61F35EE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стадиях, предшествующих окислительно-восстановительному титрованию, определяемое вещество часто присутствует более чем в одной степени окисления. Например, если сплав железа растворить в кислоте, образуется смесь железа(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и железа(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). Следовательно, перед тем как титровать железо, необходимо добавить реагент, который количественно переведет элемент либо в; двухвалентное состояние для титрования стандартным раствором окислителя, либо в трехвалентное состояние для титрования стандартным раствором восстановителя. Такой вспомогательный реагент должен обладать определенными свойствами. Он должен быть достаточно сильным окислителем или восстановителем, чтобы количественно перевести определяемое вещество в нужное состояние окисления, но при этом он не должен переводить другие компоненты раствора в состояние окисления, в котором они также реагируют с титрантом. Другое требование состоит в том, чтобы избыток реагента можно было легко удалить из раствора, так как он почти всегда мешает титрованию, реагируя со стандартным раствором. Так, реагент, который должен количественно перевести железо в двухвалентное состояние для титрования стандартным раствором перманганата, должен быть хорошим восстановителем. Если из раствора не удалить избыток реагента, оставшийся после восстановления, это неизбежно приведет к расходу перманганата.</w:t>
      </w:r>
    </w:p>
    <w:p w14:paraId="508BA35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8065D5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3.3.2 Пермангонатометрическое определение железа</w:t>
      </w:r>
    </w:p>
    <w:p w14:paraId="4738459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Перманганат калия - сильный окислитель; это, вероятно, один из наиболее широко применяемых стандартных окислителей. Окраска раствора перманганата настолько интенсивна, что индикатор обычно не требуется. Реагент легкодоступен по умеренной цене. Существенным недостатком реагента является его способность окислять хлорид-ион, поскольку соляная кислота часто применяемый растворитель. Разнообразие возможных продуктов реакции может иногда приводить к неопределенности стехиометрии окисления перманганатом. Наконец, растворы перманганата не очень устойчивы.</w:t>
      </w:r>
    </w:p>
    <w:p w14:paraId="54D2DAB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Наиболее часто перманганат калия применяют в виде 0,1 н. или более концентрированных растворов в минеральных кислотах. В этих условиях продуктом реакции является ион марганца(II):</w:t>
      </w:r>
    </w:p>
    <w:p w14:paraId="381E94E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  <w:vertAlign w:val="superscript"/>
        </w:rPr>
        <w:t>-</w:t>
      </w:r>
      <w:r>
        <w:rPr>
          <w:sz w:val="28"/>
          <w:szCs w:val="28"/>
        </w:rPr>
        <w:t>+ 8Н</w:t>
      </w:r>
      <w:r>
        <w:rPr>
          <w:sz w:val="28"/>
          <w:szCs w:val="28"/>
          <w:vertAlign w:val="superscript"/>
        </w:rPr>
        <w:t>+</w:t>
      </w:r>
      <w:r>
        <w:rPr>
          <w:sz w:val="28"/>
          <w:szCs w:val="28"/>
        </w:rPr>
        <w:t>+ 5е</w:t>
      </w:r>
      <w:r>
        <w:rPr>
          <w:rFonts w:ascii="Times New Roman" w:hAnsi="Times New Roman" w:cs="Times New Roman"/>
          <w:sz w:val="28"/>
          <w:szCs w:val="28"/>
        </w:rPr>
        <w:t>↔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 xml:space="preserve"> + 4Н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0, Е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= 1,51 В (2)</w:t>
      </w:r>
    </w:p>
    <w:p w14:paraId="0843084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EA18C0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Хотя механизм образования марганца(II) часто сложен, окисление большинства веществ в кислых растворах протекает быстро. Заметным исключением является реакция со щавелевой кислотой, требующая повышенной температуры, и реакция с мышьяком(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), для протекания которой необходим катализатор.</w:t>
      </w:r>
    </w:p>
    <w:p w14:paraId="6684874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слабо кислых (рН&gt;4), нейтральных или слабо щелочных растворах восстановление перманганата обычно протекает с участием трех электронов, и в результате образуется коричневый осадок диоксида марганца Мп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. В этих условиях перманганатом можно оттитровать некоторые вещества: например, цианид окисляется до цианата; сульфид, сульфит и тиосульфат - до сульфата; марганец(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- до диоксида марганца; гидразин - до азота.</w:t>
      </w:r>
    </w:p>
    <w:p w14:paraId="0547BB1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Растворы марганца(III) неустойчивы из-за реакции диспропорционирования</w:t>
      </w:r>
    </w:p>
    <w:p w14:paraId="2BE12F9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2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  <w:vertAlign w:val="superscript"/>
        </w:rPr>
        <w:t>3+</w:t>
      </w:r>
      <w:r>
        <w:rPr>
          <w:sz w:val="28"/>
          <w:szCs w:val="28"/>
        </w:rPr>
        <w:t xml:space="preserve"> + 2Н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↔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(тв.)</w:t>
      </w:r>
      <w:r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 xml:space="preserve"> + 4Н</w:t>
      </w:r>
      <w:r>
        <w:rPr>
          <w:sz w:val="28"/>
          <w:szCs w:val="28"/>
          <w:vertAlign w:val="superscript"/>
        </w:rPr>
        <w:t>+</w:t>
      </w:r>
      <w:r>
        <w:rPr>
          <w:sz w:val="28"/>
          <w:szCs w:val="28"/>
        </w:rPr>
        <w:t xml:space="preserve"> (3)</w:t>
      </w:r>
    </w:p>
    <w:p w14:paraId="78EB32E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20BD41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 ион марганца(III) образует несколько достаточно устойчивых комплексов, обусловливающих существование марганца в состоянии +3 в водных растворах. Лингейн использовал этот факт для титрования марганца(II) перманганатом в растворах с высокой концентрацией пирофосфат-иона; реакцию можно выразить уравнением</w:t>
      </w:r>
    </w:p>
    <w:p w14:paraId="4AD3E44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DEA1A24" w14:textId="77777777" w:rsidR="00000000" w:rsidRDefault="00000000">
      <w:pPr>
        <w:tabs>
          <w:tab w:val="left" w:pos="414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 xml:space="preserve"> О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  <w:vertAlign w:val="superscript"/>
        </w:rPr>
        <w:t>-</w:t>
      </w:r>
      <w:r>
        <w:rPr>
          <w:sz w:val="28"/>
          <w:szCs w:val="28"/>
        </w:rPr>
        <w:t xml:space="preserve">+ 4 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  <w:vertAlign w:val="superscript"/>
        </w:rPr>
        <w:t xml:space="preserve"> 2+</w:t>
      </w:r>
      <w:r>
        <w:rPr>
          <w:sz w:val="28"/>
          <w:szCs w:val="28"/>
        </w:rPr>
        <w:t xml:space="preserve"> + 15Н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0</w:t>
      </w:r>
      <w:r>
        <w:rPr>
          <w:sz w:val="28"/>
          <w:szCs w:val="28"/>
          <w:vertAlign w:val="subscript"/>
        </w:rPr>
        <w:t>7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 xml:space="preserve">- </w:t>
      </w:r>
      <w:r>
        <w:rPr>
          <w:sz w:val="28"/>
          <w:szCs w:val="28"/>
        </w:rPr>
        <w:t>+ 8Н</w:t>
      </w:r>
      <w:r>
        <w:rPr>
          <w:sz w:val="28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8"/>
          <w:szCs w:val="28"/>
        </w:rPr>
        <w:t>↔</w:t>
      </w:r>
      <w:r>
        <w:rPr>
          <w:sz w:val="28"/>
          <w:szCs w:val="28"/>
        </w:rPr>
        <w:t>5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0</w:t>
      </w:r>
      <w:r>
        <w:rPr>
          <w:sz w:val="28"/>
          <w:szCs w:val="28"/>
          <w:vertAlign w:val="subscript"/>
        </w:rPr>
        <w:t>7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vertAlign w:val="superscript"/>
        </w:rPr>
        <w:t>3-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 xml:space="preserve">+ </w:t>
      </w:r>
      <w:r>
        <w:rPr>
          <w:sz w:val="28"/>
          <w:szCs w:val="28"/>
        </w:rPr>
        <w:t>4Н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О (4)</w:t>
      </w:r>
    </w:p>
    <w:p w14:paraId="58F9AB72" w14:textId="77777777" w:rsidR="00000000" w:rsidRDefault="00000000">
      <w:pPr>
        <w:tabs>
          <w:tab w:val="left" w:pos="4145"/>
        </w:tabs>
        <w:spacing w:line="360" w:lineRule="auto"/>
        <w:ind w:firstLine="709"/>
        <w:jc w:val="both"/>
        <w:rPr>
          <w:sz w:val="28"/>
          <w:szCs w:val="28"/>
        </w:rPr>
      </w:pPr>
    </w:p>
    <w:p w14:paraId="7D33227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Титрование проводят в интервале рН 4-7.</w:t>
      </w:r>
    </w:p>
    <w:p w14:paraId="2DBEC25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A336964" w14:textId="77777777" w:rsidR="00000000" w:rsidRDefault="00000000">
      <w:pPr>
        <w:pStyle w:val="1"/>
        <w:keepNext/>
        <w:keepLine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3.3.3 Конечная точка титрования</w:t>
      </w:r>
    </w:p>
    <w:p w14:paraId="715EE19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 из наиболее очевидных достоинств перманганата калия является интенсивная фиолетовая окраска, которая обычно служит индикатором при титровании. Чтобы придать заметную окраску 100 мл воды, достаточно всего лишь 0,01-0,02 мл 0,02 М (0,1 н.) раствора. В случае очень разбавленных растворов перманганата конечную точку устанавливают по изменению окраски комплекса железа(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).</w:t>
      </w:r>
    </w:p>
    <w:p w14:paraId="60023E6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Окраска перманганата в конечной точке неустойчива и постепенно обесцвечивается в результате взаимодействия избытка перманганата с ионом марганца(II), присутствующим в конечной точке в относительно большом количестве:</w:t>
      </w:r>
    </w:p>
    <w:p w14:paraId="512073F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50EC62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  <w:vertAlign w:val="superscript"/>
        </w:rPr>
        <w:t>2-</w:t>
      </w:r>
      <w:r>
        <w:rPr>
          <w:sz w:val="28"/>
          <w:szCs w:val="28"/>
        </w:rPr>
        <w:t xml:space="preserve"> + З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  <w:vertAlign w:val="superscript"/>
        </w:rPr>
        <w:t xml:space="preserve"> 2+</w:t>
      </w:r>
      <w:r>
        <w:rPr>
          <w:sz w:val="28"/>
          <w:szCs w:val="28"/>
        </w:rPr>
        <w:t xml:space="preserve"> + 2Н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↔</w:t>
      </w:r>
      <w:r>
        <w:rPr>
          <w:sz w:val="28"/>
          <w:szCs w:val="28"/>
        </w:rPr>
        <w:t xml:space="preserve">5 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(</w:t>
      </w:r>
      <w:r>
        <w:rPr>
          <w:smallCaps/>
          <w:sz w:val="28"/>
          <w:szCs w:val="28"/>
          <w:vertAlign w:val="subscript"/>
        </w:rPr>
        <w:t>тв</w:t>
      </w:r>
      <w:r>
        <w:rPr>
          <w:sz w:val="28"/>
          <w:szCs w:val="28"/>
          <w:vertAlign w:val="subscript"/>
        </w:rPr>
        <w:t>.)</w:t>
      </w:r>
      <w:r>
        <w:rPr>
          <w:sz w:val="28"/>
          <w:szCs w:val="28"/>
        </w:rPr>
        <w:t xml:space="preserve"> + 4Н</w:t>
      </w:r>
      <w:r>
        <w:rPr>
          <w:sz w:val="28"/>
          <w:szCs w:val="28"/>
          <w:vertAlign w:val="superscript"/>
        </w:rPr>
        <w:t>+</w:t>
      </w:r>
      <w:r>
        <w:rPr>
          <w:sz w:val="28"/>
          <w:szCs w:val="28"/>
          <w:vertAlign w:val="superscript"/>
          <w:lang w:val="en-US"/>
        </w:rPr>
        <w:t xml:space="preserve"> </w:t>
      </w:r>
      <w:r>
        <w:rPr>
          <w:sz w:val="28"/>
          <w:szCs w:val="28"/>
          <w:lang w:val="en-US"/>
        </w:rPr>
        <w:t>(5)</w:t>
      </w:r>
    </w:p>
    <w:p w14:paraId="02D532D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80D40E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Константа равновесия этой реакции (ее легко рассчитать из стандартных потенциалов двух полуреакций) имеет значение порядка 10</w:t>
      </w:r>
      <w:r>
        <w:rPr>
          <w:sz w:val="28"/>
          <w:szCs w:val="28"/>
          <w:vertAlign w:val="superscript"/>
        </w:rPr>
        <w:t>47</w:t>
      </w:r>
      <w:r>
        <w:rPr>
          <w:sz w:val="28"/>
          <w:szCs w:val="28"/>
        </w:rPr>
        <w:t xml:space="preserve">. Таким образом, </w:t>
      </w:r>
      <w:r>
        <w:rPr>
          <w:sz w:val="28"/>
          <w:szCs w:val="28"/>
        </w:rPr>
        <w:lastRenderedPageBreak/>
        <w:t>даже в сильно кислом растворе концентрация перманганата, сосуществующего в равновесии с ионом марганца (II), мала. К счастью, скорость установления этого равновесия тоже мала, поэтому окраска в конечной точке ослабляется постепенно.</w:t>
      </w:r>
    </w:p>
    <w:p w14:paraId="3F80622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Интенсивная окраска раствора перманганата осложняет измерение объемов реагента в бюретке. На практике часто более удобно за точку отсчета принимать поверхность жидкости, а не нижнюю часть мениска.</w:t>
      </w:r>
    </w:p>
    <w:p w14:paraId="3B42101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06F21D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4. Экспериментальная часть</w:t>
      </w:r>
    </w:p>
    <w:p w14:paraId="7272CBE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905A58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.1 Определение Fe2+ в керамических изделиях</w:t>
      </w:r>
    </w:p>
    <w:p w14:paraId="28AB031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3A1FF7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коническую колбу вместимостью 250 мл наливают 100 мл серной кислоты (1:4) добавляем известную навеску измельченного черепка и кипятим в защитной атмосфере углекислого газа. </w:t>
      </w:r>
    </w:p>
    <w:p w14:paraId="38D252F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Колбу закрывают пробкой с двумя отверстиями, в которые вставлены стеклянные трубки, согнутые под прямым углом. Одна из трубок (по ходу газа) доходит до дна колбы, вторая кончается под пробкой. Длинную трубку присоединить к биологической пробирке с СaCO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. Прилив к мрамору соляной кислоты, пропускают поток углекислого газа через колбу в течение 3 мин. </w:t>
      </w:r>
    </w:p>
    <w:p w14:paraId="77C5CCA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это время отвешивают на сухом часовом стекле 1-1,5 г навески материала, находящегося в воздушно-сухом состоянии. Приоткрыв пробку, быстро всыпают навеску в колбу. Не прекращая тока газа, взвешивают стекло и по разности определяют массу навески. Содержимое колбы кипятят 30 мин, пропуская при этом ток углекислого газа. Затем снимают колбу с плитки и, не прекращая тока газа, охлаждают содержимое колбы.</w:t>
      </w:r>
    </w:p>
    <w:p w14:paraId="7A493DB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снимают пробку, прибавляют 150 мл свежепрокипяченной холодной воды и титруют раствором марганцовокислого калия (перманганатом калия) до розового цвета, не исчезающего в течение 20 - 30 с. Метод основан на кислотном разложении анализируемой пробы в потоке углекислого газа с последующим титрованием двухвалентного железа перманганатом калия).</w:t>
      </w:r>
    </w:p>
    <w:p w14:paraId="66D0A87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DDB85C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.2 Расчеты, полученные в результате опыта</w:t>
      </w:r>
    </w:p>
    <w:p w14:paraId="19A7944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CF167F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>Керамика №22 (неолит (с 6 - по 2 тыс. до н. э.) ст. Дедин) (темного цвета)</w:t>
      </w:r>
    </w:p>
    <w:p w14:paraId="642DB98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V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>= 2,52 мл</w:t>
      </w:r>
    </w:p>
    <w:p w14:paraId="4933719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= 2,56 мл</w:t>
      </w:r>
    </w:p>
    <w:p w14:paraId="5599B03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</w:rPr>
        <w:t>= 2,54 мл.</w:t>
      </w:r>
    </w:p>
    <w:p w14:paraId="040AA36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 xml:space="preserve">ср </w:t>
      </w:r>
      <w:r>
        <w:rPr>
          <w:sz w:val="28"/>
          <w:szCs w:val="28"/>
        </w:rPr>
        <w:t>= 2,54 мл.</w:t>
      </w:r>
    </w:p>
    <w:p w14:paraId="272A487B" w14:textId="57162946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  <w:lang w:val="en-US"/>
        </w:rPr>
        <w:t>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) = </w:t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C4C8320" wp14:editId="611AAAC5">
            <wp:extent cx="998220" cy="365760"/>
            <wp:effectExtent l="0" t="0" r="0" b="0"/>
            <wp:docPr id="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E4F0C5C" wp14:editId="60D550EC">
            <wp:extent cx="861060" cy="312420"/>
            <wp:effectExtent l="0" t="0" r="0" b="0"/>
            <wp:docPr id="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= 0,005588</w:t>
      </w:r>
    </w:p>
    <w:p w14:paraId="1C2B6FC7" w14:textId="5629EC75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м</w:t>
      </w:r>
      <w:r>
        <w:rPr>
          <w:sz w:val="28"/>
          <w:szCs w:val="28"/>
          <w:lang w:val="en-US"/>
        </w:rPr>
        <w:t>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>) =</w:t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99A05ED" wp14:editId="498A3541">
            <wp:extent cx="762000" cy="365760"/>
            <wp:effectExtent l="0" t="0" r="0" b="0"/>
            <wp:docPr id="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4E25380" wp14:editId="2FFE320E">
            <wp:extent cx="617220" cy="297180"/>
            <wp:effectExtent l="0" t="0" r="0" b="0"/>
            <wp:docPr id="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= 0,002794(Fe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) = 0,002794 </w:t>
      </w:r>
      <w:r>
        <w:rPr>
          <w:rFonts w:ascii="Cambria Math" w:hAnsi="Cambria Math" w:cs="Cambria Math"/>
          <w:sz w:val="28"/>
          <w:szCs w:val="28"/>
          <w:lang w:val="en-US"/>
        </w:rPr>
        <w:t>∙</w:t>
      </w:r>
      <w:r>
        <w:rPr>
          <w:sz w:val="28"/>
          <w:szCs w:val="28"/>
          <w:lang w:val="en-US"/>
        </w:rPr>
        <w:t xml:space="preserve"> 0,25= 0,0006985(Fe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) = 0,0006985 </w:t>
      </w:r>
      <w:r>
        <w:rPr>
          <w:rFonts w:ascii="Cambria Math" w:hAnsi="Cambria Math" w:cs="Cambria Math"/>
          <w:sz w:val="28"/>
          <w:szCs w:val="28"/>
          <w:lang w:val="en-US"/>
        </w:rPr>
        <w:t>∙</w:t>
      </w:r>
      <w:r>
        <w:rPr>
          <w:sz w:val="28"/>
          <w:szCs w:val="28"/>
          <w:lang w:val="en-US"/>
        </w:rPr>
        <w:t xml:space="preserve"> 55,845 = 0,0390(Fe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)= </w:t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9AA3FC1" wp14:editId="2CC8D1D5">
            <wp:extent cx="556260" cy="388620"/>
            <wp:effectExtent l="0" t="0" r="0" b="0"/>
            <wp:docPr id="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35C71F4" wp14:editId="6DF6BE87">
            <wp:extent cx="495300" cy="350520"/>
            <wp:effectExtent l="0" t="0" r="0" b="0"/>
            <wp:docPr id="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</w:t>
      </w:r>
      <w:r>
        <w:rPr>
          <w:rFonts w:ascii="Cambria Math" w:hAnsi="Cambria Math" w:cs="Cambria Math"/>
          <w:sz w:val="28"/>
          <w:szCs w:val="28"/>
          <w:lang w:val="en-US"/>
        </w:rPr>
        <w:t>∙</w:t>
      </w:r>
      <w:r>
        <w:rPr>
          <w:sz w:val="28"/>
          <w:szCs w:val="28"/>
          <w:lang w:val="en-US"/>
        </w:rPr>
        <w:t xml:space="preserve"> 100% = 2,7%(Fe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 = 3,86%</w:t>
      </w:r>
    </w:p>
    <w:p w14:paraId="496BD7A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>Керамика №16 (кон. 2 - нач. 1 тыс. до н.э.) (светло-коричневого цвета)</w:t>
      </w:r>
    </w:p>
    <w:p w14:paraId="493CB12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>=1,05 мл</w:t>
      </w:r>
    </w:p>
    <w:p w14:paraId="3865FC3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= 1,07 мл</w:t>
      </w:r>
    </w:p>
    <w:p w14:paraId="3B88AC6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</w:rPr>
        <w:t>= 1,07 мл.</w:t>
      </w:r>
    </w:p>
    <w:p w14:paraId="054AEC0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= 1,06 мл</w:t>
      </w:r>
    </w:p>
    <w:p w14:paraId="264C63C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>ср</w:t>
      </w:r>
      <w:r>
        <w:rPr>
          <w:sz w:val="28"/>
          <w:szCs w:val="28"/>
        </w:rPr>
        <w:t xml:space="preserve"> = 1,06 мл</w:t>
      </w:r>
    </w:p>
    <w:p w14:paraId="5B9D012A" w14:textId="1E725AD4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 xml:space="preserve">) = </w:t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C8C893C" wp14:editId="133CCC32">
            <wp:extent cx="998220" cy="350520"/>
            <wp:effectExtent l="0" t="0" r="0" b="0"/>
            <wp:docPr id="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679BCB4" wp14:editId="103DC614">
            <wp:extent cx="861060" cy="297180"/>
            <wp:effectExtent l="0" t="0" r="0" b="0"/>
            <wp:docPr id="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= 0,002332</w:t>
      </w:r>
    </w:p>
    <w:p w14:paraId="31429EB8" w14:textId="51982DF9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м</w:t>
      </w:r>
      <w:r>
        <w:rPr>
          <w:sz w:val="28"/>
          <w:szCs w:val="28"/>
          <w:lang w:val="en-US"/>
        </w:rPr>
        <w:t>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>) =</w:t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749339C" wp14:editId="4CCC3849">
            <wp:extent cx="762000" cy="350520"/>
            <wp:effectExtent l="0" t="0" r="0" b="0"/>
            <wp:docPr id="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E4DC8ED" wp14:editId="6F95DD6B">
            <wp:extent cx="617220" cy="281940"/>
            <wp:effectExtent l="0" t="0" r="0" b="0"/>
            <wp:docPr id="1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= 0,001166(Fe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) = 0,001166 </w:t>
      </w:r>
      <w:r>
        <w:rPr>
          <w:rFonts w:ascii="Cambria Math" w:hAnsi="Cambria Math" w:cs="Cambria Math"/>
          <w:sz w:val="28"/>
          <w:szCs w:val="28"/>
          <w:lang w:val="en-US"/>
        </w:rPr>
        <w:t>∙</w:t>
      </w:r>
      <w:r>
        <w:rPr>
          <w:sz w:val="28"/>
          <w:szCs w:val="28"/>
          <w:lang w:val="en-US"/>
        </w:rPr>
        <w:t xml:space="preserve"> 0,25= 0,0002915(Fe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) = 0,0002915 </w:t>
      </w:r>
      <w:r>
        <w:rPr>
          <w:rFonts w:ascii="Cambria Math" w:hAnsi="Cambria Math" w:cs="Cambria Math"/>
          <w:sz w:val="28"/>
          <w:szCs w:val="28"/>
          <w:lang w:val="en-US"/>
        </w:rPr>
        <w:t>∙</w:t>
      </w:r>
      <w:r>
        <w:rPr>
          <w:sz w:val="28"/>
          <w:szCs w:val="28"/>
          <w:lang w:val="en-US"/>
        </w:rPr>
        <w:t xml:space="preserve"> 55,845 = 0,01628(Fe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)= </w:t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9222376" wp14:editId="196B5638">
            <wp:extent cx="655320" cy="381000"/>
            <wp:effectExtent l="0" t="0" r="0" b="0"/>
            <wp:docPr id="1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DB726FA" wp14:editId="55C6BD72">
            <wp:extent cx="426720" cy="243840"/>
            <wp:effectExtent l="0" t="0" r="0" b="0"/>
            <wp:docPr id="1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</w:t>
      </w:r>
      <w:r>
        <w:rPr>
          <w:rFonts w:ascii="Cambria Math" w:hAnsi="Cambria Math" w:cs="Cambria Math"/>
          <w:sz w:val="28"/>
          <w:szCs w:val="28"/>
          <w:lang w:val="en-US"/>
        </w:rPr>
        <w:t>∙</w:t>
      </w:r>
      <w:r>
        <w:rPr>
          <w:sz w:val="28"/>
          <w:szCs w:val="28"/>
          <w:lang w:val="en-US"/>
        </w:rPr>
        <w:t xml:space="preserve"> 100% = 1,15%(Fe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 = 1,64%</w:t>
      </w:r>
    </w:p>
    <w:p w14:paraId="63CFD95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>Керамика №14 (неолит (с 6 - по 2 тыс. до н. э.)Черное). (светло-коричневого цвета с черными пятнами)</w:t>
      </w:r>
    </w:p>
    <w:p w14:paraId="37D229B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>= 1,64 мл</w:t>
      </w:r>
    </w:p>
    <w:p w14:paraId="1497FB8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= 1,66 мл</w:t>
      </w:r>
    </w:p>
    <w:p w14:paraId="2599F31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</w:rPr>
        <w:t>= 1,67 мл.</w:t>
      </w:r>
    </w:p>
    <w:p w14:paraId="1E0E986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>ср</w:t>
      </w:r>
      <w:r>
        <w:rPr>
          <w:sz w:val="28"/>
          <w:szCs w:val="28"/>
        </w:rPr>
        <w:t xml:space="preserve"> = 1,66 мл</w:t>
      </w:r>
    </w:p>
    <w:p w14:paraId="30F9C7B1" w14:textId="21FA18B0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 xml:space="preserve">) = </w:t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65F3F1A" wp14:editId="7FB6C6EB">
            <wp:extent cx="998220" cy="350520"/>
            <wp:effectExtent l="0" t="0" r="0" b="0"/>
            <wp:docPr id="1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F04B312" wp14:editId="19C6E5CA">
            <wp:extent cx="792480" cy="274320"/>
            <wp:effectExtent l="0" t="0" r="0" b="0"/>
            <wp:docPr id="1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= 0,00365</w:t>
      </w:r>
    </w:p>
    <w:p w14:paraId="796E9914" w14:textId="2A7E832C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С</w:t>
      </w:r>
      <w:r>
        <w:rPr>
          <w:sz w:val="28"/>
          <w:szCs w:val="28"/>
          <w:vertAlign w:val="subscript"/>
        </w:rPr>
        <w:t>м</w:t>
      </w:r>
      <w:r>
        <w:rPr>
          <w:sz w:val="28"/>
          <w:szCs w:val="28"/>
          <w:lang w:val="en-US"/>
        </w:rPr>
        <w:t>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>) =</w:t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2567F4C" wp14:editId="077EE75D">
            <wp:extent cx="762000" cy="373380"/>
            <wp:effectExtent l="0" t="0" r="0" b="0"/>
            <wp:docPr id="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B5E6492" wp14:editId="12DD9DFB">
            <wp:extent cx="617220" cy="304800"/>
            <wp:effectExtent l="0" t="0" r="0" b="0"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= 0,001826(Fe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) = 0,001826 </w:t>
      </w:r>
      <w:r>
        <w:rPr>
          <w:rFonts w:ascii="Cambria Math" w:hAnsi="Cambria Math" w:cs="Cambria Math"/>
          <w:sz w:val="28"/>
          <w:szCs w:val="28"/>
          <w:lang w:val="en-US"/>
        </w:rPr>
        <w:t>∙</w:t>
      </w:r>
      <w:r>
        <w:rPr>
          <w:sz w:val="28"/>
          <w:szCs w:val="28"/>
          <w:lang w:val="en-US"/>
        </w:rPr>
        <w:t xml:space="preserve"> 0,25= 0,0004565(Fe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) = 0,0004565 </w:t>
      </w:r>
      <w:r>
        <w:rPr>
          <w:rFonts w:ascii="Cambria Math" w:hAnsi="Cambria Math" w:cs="Cambria Math"/>
          <w:sz w:val="28"/>
          <w:szCs w:val="28"/>
          <w:lang w:val="en-US"/>
        </w:rPr>
        <w:t>∙</w:t>
      </w:r>
      <w:r>
        <w:rPr>
          <w:sz w:val="28"/>
          <w:szCs w:val="28"/>
          <w:lang w:val="en-US"/>
        </w:rPr>
        <w:t xml:space="preserve"> 55,845 = 0,0255(Fe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)= </w:t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F450656" wp14:editId="79DEC33B">
            <wp:extent cx="594360" cy="388620"/>
            <wp:effectExtent l="0" t="0" r="0" b="0"/>
            <wp:docPr id="1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610EE28" wp14:editId="11A8FEC8">
            <wp:extent cx="434340" cy="281940"/>
            <wp:effectExtent l="0" t="0" r="0" b="0"/>
            <wp:docPr id="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</w:t>
      </w:r>
      <w:r>
        <w:rPr>
          <w:rFonts w:ascii="Cambria Math" w:hAnsi="Cambria Math" w:cs="Cambria Math"/>
          <w:sz w:val="28"/>
          <w:szCs w:val="28"/>
          <w:lang w:val="en-US"/>
        </w:rPr>
        <w:t>∙</w:t>
      </w:r>
      <w:r>
        <w:rPr>
          <w:sz w:val="28"/>
          <w:szCs w:val="28"/>
          <w:lang w:val="en-US"/>
        </w:rPr>
        <w:t xml:space="preserve"> 100% = 1,72%(Fe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 = 2,46%</w:t>
      </w:r>
    </w:p>
    <w:p w14:paraId="22F394E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>Керамика №13 (неолит (с 6 - по 2 тыс. до н. э.)Рудня-1) (на внешнем слое светло коричневого цвета, внутренний слой темно-серый)</w:t>
      </w:r>
    </w:p>
    <w:p w14:paraId="75A4D09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>= 0,71 мл</w:t>
      </w:r>
    </w:p>
    <w:p w14:paraId="4EE2124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= 0,69 мл</w:t>
      </w:r>
    </w:p>
    <w:p w14:paraId="51E52D0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</w:rPr>
        <w:t>= 0,69 мл.</w:t>
      </w:r>
    </w:p>
    <w:p w14:paraId="5FFE291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= 0,70 мл</w:t>
      </w:r>
    </w:p>
    <w:p w14:paraId="347AF0E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 xml:space="preserve">ср </w:t>
      </w:r>
      <w:r>
        <w:rPr>
          <w:sz w:val="28"/>
          <w:szCs w:val="28"/>
        </w:rPr>
        <w:t>= 0,698 мл</w:t>
      </w:r>
    </w:p>
    <w:p w14:paraId="6B78CBCC" w14:textId="1AFEA372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 xml:space="preserve">) = </w:t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28D30FF" wp14:editId="255DCFEE">
            <wp:extent cx="1104900" cy="350520"/>
            <wp:effectExtent l="0" t="0" r="0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D9D96E2" wp14:editId="34983BE0">
            <wp:extent cx="784860" cy="243840"/>
            <wp:effectExtent l="0" t="0" r="0" b="0"/>
            <wp:docPr id="2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= 0,00154</w:t>
      </w:r>
    </w:p>
    <w:p w14:paraId="142F30F2" w14:textId="34A90F36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м</w:t>
      </w:r>
      <w:r>
        <w:rPr>
          <w:sz w:val="28"/>
          <w:szCs w:val="28"/>
          <w:lang w:val="en-US"/>
        </w:rPr>
        <w:t>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>) =</w:t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1B21352" wp14:editId="705980A4">
            <wp:extent cx="655320" cy="373380"/>
            <wp:effectExtent l="0" t="0" r="0" b="0"/>
            <wp:docPr id="2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79C2BF8" wp14:editId="4E9A2DEE">
            <wp:extent cx="472440" cy="266700"/>
            <wp:effectExtent l="0" t="0" r="0" b="0"/>
            <wp:docPr id="2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= 0,00077(Fe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) = 0,00077 </w:t>
      </w:r>
      <w:r>
        <w:rPr>
          <w:rFonts w:ascii="Cambria Math" w:hAnsi="Cambria Math" w:cs="Cambria Math"/>
          <w:sz w:val="28"/>
          <w:szCs w:val="28"/>
          <w:lang w:val="en-US"/>
        </w:rPr>
        <w:t>∙</w:t>
      </w:r>
      <w:r>
        <w:rPr>
          <w:sz w:val="28"/>
          <w:szCs w:val="28"/>
          <w:lang w:val="en-US"/>
        </w:rPr>
        <w:t xml:space="preserve"> 0,25= 0,0001925(Fe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) = 0,0001925 </w:t>
      </w:r>
      <w:r>
        <w:rPr>
          <w:rFonts w:ascii="Cambria Math" w:hAnsi="Cambria Math" w:cs="Cambria Math"/>
          <w:sz w:val="28"/>
          <w:szCs w:val="28"/>
          <w:lang w:val="en-US"/>
        </w:rPr>
        <w:t>∙</w:t>
      </w:r>
      <w:r>
        <w:rPr>
          <w:sz w:val="28"/>
          <w:szCs w:val="28"/>
          <w:lang w:val="en-US"/>
        </w:rPr>
        <w:t xml:space="preserve"> 55,845 = 0,01075(Fe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)= </w:t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D4FBA9D" wp14:editId="560F5E5E">
            <wp:extent cx="655320" cy="381000"/>
            <wp:effectExtent l="0" t="0" r="0" b="0"/>
            <wp:docPr id="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6B6D3A2" wp14:editId="087DADF0">
            <wp:extent cx="495300" cy="289560"/>
            <wp:effectExtent l="0" t="0" r="0" b="0"/>
            <wp:docPr id="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</w:t>
      </w:r>
      <w:r>
        <w:rPr>
          <w:rFonts w:ascii="Cambria Math" w:hAnsi="Cambria Math" w:cs="Cambria Math"/>
          <w:sz w:val="28"/>
          <w:szCs w:val="28"/>
          <w:lang w:val="en-US"/>
        </w:rPr>
        <w:t>∙</w:t>
      </w:r>
      <w:r>
        <w:rPr>
          <w:sz w:val="28"/>
          <w:szCs w:val="28"/>
          <w:lang w:val="en-US"/>
        </w:rPr>
        <w:t xml:space="preserve"> 100% = 0,75%(Fe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 = 0,92%</w:t>
      </w:r>
    </w:p>
    <w:p w14:paraId="717573A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>Керамика №55 ((2011 г.) Чауская ШР) (коричневато-желтого цвета)</w:t>
      </w:r>
    </w:p>
    <w:p w14:paraId="41E3A3C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>= 0,08 мл</w:t>
      </w:r>
    </w:p>
    <w:p w14:paraId="550F649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= 0,09 мл</w:t>
      </w:r>
    </w:p>
    <w:p w14:paraId="4A93818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</w:rPr>
        <w:t>= 0,08 мл</w:t>
      </w:r>
    </w:p>
    <w:p w14:paraId="17DDBFA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 xml:space="preserve">ср </w:t>
      </w:r>
      <w:r>
        <w:rPr>
          <w:sz w:val="28"/>
          <w:szCs w:val="28"/>
        </w:rPr>
        <w:t>= 0,08 мл</w:t>
      </w:r>
    </w:p>
    <w:p w14:paraId="310D99A5" w14:textId="34B50EAE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 xml:space="preserve">) = </w:t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EE1A2F9" wp14:editId="08A81EDF">
            <wp:extent cx="998220" cy="350520"/>
            <wp:effectExtent l="0" t="0" r="0" b="0"/>
            <wp:docPr id="2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1362258" wp14:editId="6C2D6BC3">
            <wp:extent cx="723900" cy="259080"/>
            <wp:effectExtent l="0" t="0" r="0" b="0"/>
            <wp:docPr id="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= 0,000176</w:t>
      </w:r>
    </w:p>
    <w:p w14:paraId="71CC2914" w14:textId="6F8ED6FE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м</w:t>
      </w:r>
      <w:r>
        <w:rPr>
          <w:sz w:val="28"/>
          <w:szCs w:val="28"/>
          <w:lang w:val="en-US"/>
        </w:rPr>
        <w:t>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>) =</w:t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4D0556D" wp14:editId="3A692A76">
            <wp:extent cx="762000" cy="350520"/>
            <wp:effectExtent l="0" t="0" r="0" b="0"/>
            <wp:docPr id="2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769E6B4" wp14:editId="567170C8">
            <wp:extent cx="617220" cy="281940"/>
            <wp:effectExtent l="0" t="0" r="0" b="0"/>
            <wp:docPr id="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= 0,000088(Fe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) = 0,000088 </w:t>
      </w:r>
      <w:r>
        <w:rPr>
          <w:rFonts w:ascii="Cambria Math" w:hAnsi="Cambria Math" w:cs="Cambria Math"/>
          <w:sz w:val="28"/>
          <w:szCs w:val="28"/>
          <w:lang w:val="en-US"/>
        </w:rPr>
        <w:t>∙</w:t>
      </w:r>
      <w:r>
        <w:rPr>
          <w:sz w:val="28"/>
          <w:szCs w:val="28"/>
          <w:lang w:val="en-US"/>
        </w:rPr>
        <w:t xml:space="preserve"> 0,25= 0,000022(Fe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) = 0,000022 </w:t>
      </w:r>
      <w:r>
        <w:rPr>
          <w:rFonts w:ascii="Cambria Math" w:hAnsi="Cambria Math" w:cs="Cambria Math"/>
          <w:sz w:val="28"/>
          <w:szCs w:val="28"/>
          <w:lang w:val="en-US"/>
        </w:rPr>
        <w:t>∙</w:t>
      </w:r>
      <w:r>
        <w:rPr>
          <w:sz w:val="28"/>
          <w:szCs w:val="28"/>
          <w:lang w:val="en-US"/>
        </w:rPr>
        <w:t xml:space="preserve"> 55,845 = 0,00123(Fe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)= </w:t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4C45265" wp14:editId="2501406F">
            <wp:extent cx="655320" cy="381000"/>
            <wp:effectExtent l="0" t="0" r="0" b="0"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41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A99BFB6" wp14:editId="0BCFDA0C">
            <wp:extent cx="563880" cy="327660"/>
            <wp:effectExtent l="0" t="0" r="0" b="0"/>
            <wp:docPr id="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</w:t>
      </w:r>
      <w:r>
        <w:rPr>
          <w:rFonts w:ascii="Cambria Math" w:hAnsi="Cambria Math" w:cs="Cambria Math"/>
          <w:sz w:val="28"/>
          <w:szCs w:val="28"/>
          <w:lang w:val="en-US"/>
        </w:rPr>
        <w:t>∙</w:t>
      </w:r>
      <w:r>
        <w:rPr>
          <w:sz w:val="28"/>
          <w:szCs w:val="28"/>
          <w:lang w:val="en-US"/>
        </w:rPr>
        <w:t xml:space="preserve"> 100% = 0,08%(Fe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 = 0,1%</w:t>
      </w:r>
    </w:p>
    <w:p w14:paraId="4050D1D0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778DE19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Заключение</w:t>
      </w:r>
    </w:p>
    <w:p w14:paraId="1915481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07A436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В результате нашей работы был проведен обзор литературы.</w:t>
      </w:r>
    </w:p>
    <w:p w14:paraId="4D7801E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Отработана методика определения железа +2.</w:t>
      </w:r>
    </w:p>
    <w:p w14:paraId="0FEF06E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Определены значения содержания железа в представленных образцах.</w:t>
      </w:r>
    </w:p>
    <w:p w14:paraId="5FE917B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C3FF07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br w:type="page"/>
      </w:r>
      <w:r>
        <w:rPr>
          <w:sz w:val="28"/>
          <w:szCs w:val="28"/>
        </w:rPr>
        <w:lastRenderedPageBreak/>
        <w:t>Список использованной литературы</w:t>
      </w:r>
    </w:p>
    <w:p w14:paraId="0BF80FE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6868CCC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Алексеев В.Н. Количественный анализ. Под ред. д-ра хим. наук П.К. Агасяна. Издание 4-е, перераб. М., „Химия". 1972. 504 е.; 24 табл.; 76 рис.;</w:t>
      </w:r>
    </w:p>
    <w:p w14:paraId="32D44853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Васильев В.П. Аналитическая химия. В 2 ч. Ч. 1 Гравиметрический и тиртриметричейкий методы анализа: Учеб. для химико-технол. спец вузов - М.: Высш.шк. 1989. - 302 сл.: ил.;</w:t>
      </w:r>
    </w:p>
    <w:p w14:paraId="14E7664E" w14:textId="77777777" w:rsidR="007F00AE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Е. Данкевич, О. Жакова. Знакомьтесь, глина. С.-П. Кристалл. 1998.</w:t>
      </w:r>
    </w:p>
    <w:sectPr w:rsidR="007F00A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411"/>
    <w:rsid w:val="00063FE6"/>
    <w:rsid w:val="007F00AE"/>
    <w:rsid w:val="00A3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38D3A"/>
  <w14:defaultImageDpi w14:val="0"/>
  <w15:docId w15:val="{0B81AF95-F2AD-4D89-A66F-67C9D94A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10" Type="http://schemas.openxmlformats.org/officeDocument/2006/relationships/image" Target="media/image7.wmf"/><Relationship Id="rId19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2929</Words>
  <Characters>16698</Characters>
  <Application>Microsoft Office Word</Application>
  <DocSecurity>0</DocSecurity>
  <Lines>139</Lines>
  <Paragraphs>39</Paragraphs>
  <ScaleCrop>false</ScaleCrop>
  <Company/>
  <LinksUpToDate>false</LinksUpToDate>
  <CharactersWithSpaces>19588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2026-01-15T19:12:00Z</dcterms:created>
  <dcterms:modified xsi:type="dcterms:W3CDTF">2026-01-15T19:12:00Z</dcterms:modified>
</cp:coreProperties>
</file>