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1AA17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Кафедра основ Химической Технологии</w:t>
      </w:r>
    </w:p>
    <w:p w14:paraId="69D72319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7D6A61E7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753AC35D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6A65CF14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5EC61BB0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71211E94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1E9F0655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55C2BA60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2A74EA5D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624FC46E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292F9737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21C8D7FF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31132243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</w:p>
    <w:p w14:paraId="461628E6" w14:textId="77777777" w:rsidR="00000000" w:rsidRDefault="00000000">
      <w:pPr>
        <w:pStyle w:val="1"/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КОНТРОЛЬНАЯ РАБОТА</w:t>
      </w:r>
    </w:p>
    <w:p w14:paraId="5B2BE11C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теме</w:t>
      </w:r>
    </w:p>
    <w:p w14:paraId="3D67DC0B" w14:textId="77777777" w:rsidR="00000000" w:rsidRDefault="00000000">
      <w:pPr>
        <w:shd w:val="clear" w:color="000000" w:fill="auto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«Реакторы идеального вытеснения»</w:t>
      </w:r>
    </w:p>
    <w:p w14:paraId="547168E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DD2A77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Вариант № 14</w:t>
      </w:r>
    </w:p>
    <w:p w14:paraId="356F142A" w14:textId="77777777" w:rsidR="00000000" w:rsidRDefault="00000000">
      <w:pPr>
        <w:shd w:val="clear" w:color="000000" w:fill="auto"/>
        <w:spacing w:line="360" w:lineRule="auto"/>
        <w:jc w:val="center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реактор газовый поток вытеснение</w:t>
      </w:r>
    </w:p>
    <w:p w14:paraId="01654EE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Р.И.В. Проводят окисление </w:t>
      </w:r>
      <w:r>
        <w:rPr>
          <w:i/>
          <w:iCs/>
          <w:sz w:val="28"/>
          <w:szCs w:val="28"/>
          <w:lang w:val="en-US"/>
        </w:rPr>
        <w:t>SO</w:t>
      </w:r>
      <w:r>
        <w:rPr>
          <w:i/>
          <w:iCs/>
          <w:sz w:val="28"/>
          <w:szCs w:val="28"/>
        </w:rPr>
        <w:t>2</w:t>
      </w:r>
      <w:r>
        <w:rPr>
          <w:sz w:val="28"/>
          <w:szCs w:val="28"/>
        </w:rPr>
        <w:t xml:space="preserve">. Объем реакционной зоны 150 </w:t>
      </w:r>
      <w:r>
        <w:rPr>
          <w:i/>
          <w:iCs/>
          <w:sz w:val="28"/>
          <w:szCs w:val="28"/>
        </w:rPr>
        <w:t>м2</w:t>
      </w:r>
      <w:r>
        <w:rPr>
          <w:sz w:val="28"/>
          <w:szCs w:val="28"/>
        </w:rPr>
        <w:t xml:space="preserve">. Объемный расход смеси 50000 </w:t>
      </w:r>
      <w:r>
        <w:rPr>
          <w:i/>
          <w:iCs/>
          <w:sz w:val="28"/>
          <w:szCs w:val="28"/>
        </w:rPr>
        <w:t>м3/г</w:t>
      </w:r>
      <w:r>
        <w:rPr>
          <w:sz w:val="28"/>
          <w:szCs w:val="28"/>
        </w:rPr>
        <w:t xml:space="preserve">. Состав исходной смеси </w:t>
      </w:r>
      <w:r>
        <w:rPr>
          <w:i/>
          <w:iCs/>
          <w:sz w:val="28"/>
          <w:szCs w:val="28"/>
          <w:lang w:val="en-US"/>
        </w:rPr>
        <w:t>SO</w:t>
      </w:r>
      <w:r>
        <w:rPr>
          <w:i/>
          <w:iCs/>
          <w:sz w:val="28"/>
          <w:szCs w:val="28"/>
        </w:rPr>
        <w:t>2 - 0,1</w:t>
      </w:r>
      <w:r>
        <w:rPr>
          <w:sz w:val="28"/>
          <w:szCs w:val="28"/>
        </w:rPr>
        <w:t xml:space="preserve">; </w:t>
      </w:r>
      <w:r>
        <w:rPr>
          <w:i/>
          <w:iCs/>
          <w:sz w:val="28"/>
          <w:szCs w:val="28"/>
          <w:lang w:val="en-US"/>
        </w:rPr>
        <w:t>O</w:t>
      </w:r>
      <w:r>
        <w:rPr>
          <w:i/>
          <w:iCs/>
          <w:sz w:val="28"/>
          <w:szCs w:val="28"/>
        </w:rPr>
        <w:t>2 - 0,11</w:t>
      </w:r>
      <w:r>
        <w:rPr>
          <w:sz w:val="28"/>
          <w:szCs w:val="28"/>
        </w:rPr>
        <w:t xml:space="preserve">; </w:t>
      </w:r>
      <w:r>
        <w:rPr>
          <w:i/>
          <w:iCs/>
          <w:sz w:val="28"/>
          <w:szCs w:val="28"/>
          <w:lang w:val="en-US"/>
        </w:rPr>
        <w:t>SO</w:t>
      </w:r>
      <w:r>
        <w:rPr>
          <w:i/>
          <w:iCs/>
          <w:sz w:val="28"/>
          <w:szCs w:val="28"/>
        </w:rPr>
        <w:t>3 - 0,01</w:t>
      </w:r>
      <w:r>
        <w:rPr>
          <w:sz w:val="28"/>
          <w:szCs w:val="28"/>
        </w:rPr>
        <w:t xml:space="preserve">; остальное - азот. Давление в реакторе </w:t>
      </w:r>
      <w:r>
        <w:rPr>
          <w:i/>
          <w:iCs/>
          <w:sz w:val="28"/>
          <w:szCs w:val="28"/>
        </w:rPr>
        <w:t>Р=1,5 атм</w:t>
      </w:r>
      <w:r>
        <w:rPr>
          <w:sz w:val="28"/>
          <w:szCs w:val="28"/>
        </w:rPr>
        <w:t>.</w:t>
      </w:r>
    </w:p>
    <w:p w14:paraId="268FA30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значение температуры газового потока на входе в реакторе, обеспечивающее максимальную производительность реактора.</w:t>
      </w:r>
    </w:p>
    <w:p w14:paraId="6F6DC0C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6089359F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SO2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+ ½ O</w:t>
      </w:r>
      <w:r>
        <w:rPr>
          <w:i/>
          <w:iCs/>
          <w:sz w:val="28"/>
          <w:szCs w:val="28"/>
          <w:lang w:val="en-US"/>
        </w:rPr>
        <w:t>2 = SO3</w:t>
      </w:r>
    </w:p>
    <w:p w14:paraId="0ADAF42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i/>
          <w:iCs/>
          <w:sz w:val="28"/>
          <w:szCs w:val="28"/>
        </w:rPr>
      </w:pPr>
    </w:p>
    <w:p w14:paraId="0CD5120D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6259" w:dyaOrig="1058" w14:anchorId="7C5566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3.2pt;height:52.8pt" o:ole="">
            <v:imagedata r:id="rId4" o:title=""/>
          </v:shape>
          <o:OLEObject Type="Embed" ProgID="Equation.3" ShapeID="_x0000_i1025" DrawAspect="Content" ObjectID="_1829411852" r:id="rId5"/>
        </w:object>
      </w:r>
    </w:p>
    <w:p w14:paraId="652231B2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400" w:dyaOrig="380" w14:anchorId="735CF809">
          <v:shape id="_x0000_i1026" type="#_x0000_t75" style="width:70.2pt;height:19.2pt" o:ole="">
            <v:imagedata r:id="rId6" o:title=""/>
          </v:shape>
          <o:OLEObject Type="Embed" ProgID="Equation.3" ShapeID="_x0000_i1026" DrawAspect="Content" ObjectID="_1829411853" r:id="rId7"/>
        </w:object>
      </w:r>
      <w:r>
        <w:rPr>
          <w:sz w:val="28"/>
          <w:szCs w:val="28"/>
        </w:rPr>
        <w:t xml:space="preserve"> ; </w:t>
      </w:r>
      <w:r>
        <w:rPr>
          <w:rFonts w:ascii="Microsoft Sans Serif" w:hAnsi="Microsoft Sans Serif" w:cs="Microsoft Sans Serif"/>
          <w:sz w:val="17"/>
          <w:szCs w:val="17"/>
        </w:rPr>
        <w:object w:dxaOrig="1080" w:dyaOrig="279" w14:anchorId="50A4627C">
          <v:shape id="_x0000_i1027" type="#_x0000_t75" style="width:54pt;height:13.8pt" o:ole="">
            <v:imagedata r:id="rId8" o:title=""/>
          </v:shape>
          <o:OLEObject Type="Embed" ProgID="Equation.3" ShapeID="_x0000_i1027" DrawAspect="Content" ObjectID="_1829411854" r:id="rId9"/>
        </w:object>
      </w:r>
      <w:r>
        <w:rPr>
          <w:sz w:val="28"/>
          <w:szCs w:val="28"/>
        </w:rPr>
        <w:t xml:space="preserve"> ; </w:t>
      </w:r>
      <w:r>
        <w:rPr>
          <w:rFonts w:ascii="Microsoft Sans Serif" w:hAnsi="Microsoft Sans Serif" w:cs="Microsoft Sans Serif"/>
          <w:sz w:val="17"/>
          <w:szCs w:val="17"/>
        </w:rPr>
        <w:object w:dxaOrig="1100" w:dyaOrig="320" w14:anchorId="4D631A92">
          <v:shape id="_x0000_i1028" type="#_x0000_t75" style="width:55.2pt;height:16.2pt" o:ole="">
            <v:imagedata r:id="rId10" o:title=""/>
          </v:shape>
          <o:OLEObject Type="Embed" ProgID="Equation.3" ShapeID="_x0000_i1028" DrawAspect="Content" ObjectID="_1829411855" r:id="rId11"/>
        </w:object>
      </w:r>
    </w:p>
    <w:p w14:paraId="6BD9639C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719" w:dyaOrig="780" w14:anchorId="6DFF1F9D">
          <v:shape id="_x0000_i1029" type="#_x0000_t75" style="width:85.8pt;height:39pt" o:ole="">
            <v:imagedata r:id="rId12" o:title=""/>
          </v:shape>
          <o:OLEObject Type="Embed" ProgID="Equation.3" ShapeID="_x0000_i1029" DrawAspect="Content" ObjectID="_1829411856" r:id="rId13"/>
        </w:object>
      </w:r>
      <w:r>
        <w:rPr>
          <w:sz w:val="28"/>
          <w:szCs w:val="28"/>
        </w:rPr>
        <w:t xml:space="preserve"> ; </w:t>
      </w:r>
      <w:r>
        <w:rPr>
          <w:rFonts w:ascii="Microsoft Sans Serif" w:hAnsi="Microsoft Sans Serif" w:cs="Microsoft Sans Serif"/>
          <w:sz w:val="17"/>
          <w:szCs w:val="17"/>
        </w:rPr>
        <w:object w:dxaOrig="2201" w:dyaOrig="620" w14:anchorId="6F6CBC4C">
          <v:shape id="_x0000_i1030" type="#_x0000_t75" style="width:109.8pt;height:31.2pt" o:ole="">
            <v:imagedata r:id="rId14" o:title=""/>
          </v:shape>
          <o:OLEObject Type="Embed" ProgID="Equation.3" ShapeID="_x0000_i1030" DrawAspect="Content" ObjectID="_1829411857" r:id="rId15"/>
        </w:object>
      </w:r>
    </w:p>
    <w:p w14:paraId="0DCF51BC" w14:textId="77777777" w:rsidR="00000000" w:rsidRDefault="00000000">
      <w:pPr>
        <w:ind w:firstLine="709"/>
        <w:rPr>
          <w:sz w:val="28"/>
          <w:szCs w:val="28"/>
        </w:rPr>
      </w:pPr>
    </w:p>
    <w:p w14:paraId="657F48B9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Теплоемкости: </w:t>
      </w:r>
      <w:r>
        <w:rPr>
          <w:rFonts w:ascii="Microsoft Sans Serif" w:hAnsi="Microsoft Sans Serif" w:cs="Microsoft Sans Serif"/>
          <w:sz w:val="17"/>
          <w:szCs w:val="17"/>
        </w:rPr>
        <w:object w:dxaOrig="1140" w:dyaOrig="680" w14:anchorId="3980AFF6">
          <v:shape id="_x0000_i1031" type="#_x0000_t75" style="width:57pt;height:34.2pt" o:ole="">
            <v:imagedata r:id="rId16" o:title=""/>
          </v:shape>
          <o:OLEObject Type="Embed" ProgID="Equation.3" ShapeID="_x0000_i1031" DrawAspect="Content" ObjectID="_1829411858" r:id="rId17"/>
        </w:object>
      </w:r>
    </w:p>
    <w:p w14:paraId="5F15E095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647" w:dyaOrig="387" w14:anchorId="18EB500E">
          <v:shape id="_x0000_i1032" type="#_x0000_t75" style="width:82.2pt;height:19.2pt" o:ole="">
            <v:imagedata r:id="rId18" o:title=""/>
          </v:shape>
          <o:OLEObject Type="Embed" ProgID="Equation.3" ShapeID="_x0000_i1032" DrawAspect="Content" ObjectID="_1829411859" r:id="rId19"/>
        </w:object>
      </w:r>
      <w:r>
        <w:rPr>
          <w:sz w:val="28"/>
          <w:szCs w:val="28"/>
        </w:rPr>
        <w:t xml:space="preserve"> ; </w:t>
      </w:r>
      <w:r>
        <w:rPr>
          <w:rFonts w:ascii="Microsoft Sans Serif" w:hAnsi="Microsoft Sans Serif" w:cs="Microsoft Sans Serif"/>
          <w:sz w:val="17"/>
          <w:szCs w:val="17"/>
        </w:rPr>
        <w:object w:dxaOrig="1540" w:dyaOrig="380" w14:anchorId="166ADAD7">
          <v:shape id="_x0000_i1033" type="#_x0000_t75" style="width:76.8pt;height:19.2pt" o:ole="">
            <v:imagedata r:id="rId20" o:title=""/>
          </v:shape>
          <o:OLEObject Type="Embed" ProgID="Equation.3" ShapeID="_x0000_i1033" DrawAspect="Content" ObjectID="_1829411860" r:id="rId21"/>
        </w:object>
      </w:r>
      <w:r>
        <w:rPr>
          <w:sz w:val="28"/>
          <w:szCs w:val="28"/>
        </w:rPr>
        <w:t xml:space="preserve">; </w:t>
      </w:r>
      <w:r>
        <w:rPr>
          <w:rFonts w:ascii="Microsoft Sans Serif" w:hAnsi="Microsoft Sans Serif" w:cs="Microsoft Sans Serif"/>
          <w:sz w:val="17"/>
          <w:szCs w:val="17"/>
        </w:rPr>
        <w:object w:dxaOrig="1620" w:dyaOrig="380" w14:anchorId="1C5A34F6">
          <v:shape id="_x0000_i1034" type="#_x0000_t75" style="width:81pt;height:19.2pt" o:ole="">
            <v:imagedata r:id="rId22" o:title=""/>
          </v:shape>
          <o:OLEObject Type="Embed" ProgID="Equation.3" ShapeID="_x0000_i1034" DrawAspect="Content" ObjectID="_1829411861" r:id="rId23"/>
        </w:object>
      </w:r>
      <w:r>
        <w:rPr>
          <w:sz w:val="28"/>
          <w:szCs w:val="28"/>
        </w:rPr>
        <w:t xml:space="preserve">; </w:t>
      </w:r>
      <w:r>
        <w:rPr>
          <w:rFonts w:ascii="Microsoft Sans Serif" w:hAnsi="Microsoft Sans Serif" w:cs="Microsoft Sans Serif"/>
          <w:sz w:val="17"/>
          <w:szCs w:val="17"/>
        </w:rPr>
        <w:object w:dxaOrig="1560" w:dyaOrig="380" w14:anchorId="4BAE8673">
          <v:shape id="_x0000_i1035" type="#_x0000_t75" style="width:78pt;height:19.2pt" o:ole="">
            <v:imagedata r:id="rId24" o:title=""/>
          </v:shape>
          <o:OLEObject Type="Embed" ProgID="Equation.3" ShapeID="_x0000_i1035" DrawAspect="Content" ObjectID="_1829411862" r:id="rId25"/>
        </w:object>
      </w:r>
    </w:p>
    <w:p w14:paraId="6555AC3D" w14:textId="77777777" w:rsidR="00000000" w:rsidRDefault="00000000">
      <w:pPr>
        <w:ind w:firstLine="709"/>
        <w:rPr>
          <w:sz w:val="28"/>
          <w:szCs w:val="28"/>
        </w:rPr>
      </w:pPr>
    </w:p>
    <w:p w14:paraId="22BD8085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Введение</w:t>
      </w:r>
    </w:p>
    <w:p w14:paraId="5AF8386B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F99535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перемешивания реагирующих масс в реакторах непосредственно влияет на режим их работы. При идеальном вытеснении температура изменяется по высоте реакционного объема и в результате меняется константа скорости реакции и, соответственно, скорость процесса.</w:t>
      </w:r>
    </w:p>
    <w:p w14:paraId="381FDF3E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Р.И.В. все частицы движутся в заданном направлении, не перемешиваясь с движущимися впереди и сзади, и полностью вытесняя подобно поршню находящиеся впереди частицы потока. Временно характеристикой Р.И.В. служит уравнение:</w:t>
      </w:r>
    </w:p>
    <w:p w14:paraId="39C419E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32183BD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300" w:dyaOrig="360" w14:anchorId="0168D5C1">
          <v:shape id="_x0000_i1036" type="#_x0000_t75" style="width:64.8pt;height:18pt" o:ole="">
            <v:imagedata r:id="rId26" o:title=""/>
          </v:shape>
          <o:OLEObject Type="Embed" ProgID="Equation.3" ShapeID="_x0000_i1036" DrawAspect="Content" ObjectID="_1829411863" r:id="rId27"/>
        </w:object>
      </w:r>
    </w:p>
    <w:p w14:paraId="27C7A993" w14:textId="77777777" w:rsidR="00000000" w:rsidRDefault="00000000">
      <w:pPr>
        <w:ind w:firstLine="709"/>
        <w:rPr>
          <w:sz w:val="28"/>
          <w:szCs w:val="28"/>
        </w:rPr>
      </w:pPr>
    </w:p>
    <w:p w14:paraId="31C143EB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 также</w:t>
      </w:r>
      <w:r>
        <w:rPr>
          <w:sz w:val="28"/>
          <w:szCs w:val="28"/>
          <w:lang w:val="en-US"/>
        </w:rPr>
        <w:t>:</w:t>
      </w:r>
    </w:p>
    <w:p w14:paraId="5E576E34" w14:textId="77777777" w:rsidR="00000000" w:rsidRDefault="00000000">
      <w:pPr>
        <w:ind w:firstLine="709"/>
        <w:rPr>
          <w:sz w:val="28"/>
          <w:szCs w:val="28"/>
        </w:rPr>
      </w:pPr>
    </w:p>
    <w:p w14:paraId="5B2BA6F1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760" w:dyaOrig="360" w14:anchorId="2DDCF6C6">
          <v:shape id="_x0000_i1037" type="#_x0000_t75" style="width:88.2pt;height:18pt" o:ole="">
            <v:imagedata r:id="rId28" o:title=""/>
          </v:shape>
          <o:OLEObject Type="Embed" ProgID="Equation.3" ShapeID="_x0000_i1037" DrawAspect="Content" ObjectID="_1829411864" r:id="rId29"/>
        </w:object>
      </w:r>
    </w:p>
    <w:p w14:paraId="34B0548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BA784E0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рассматривать процесс, протекающий в элементарном объеме реактора за время, то приход реагента в этот объем может быть представлен как:</w:t>
      </w:r>
    </w:p>
    <w:p w14:paraId="14A16A4E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F77FF97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240" w:dyaOrig="380" w14:anchorId="10F3E379">
          <v:shape id="_x0000_i1038" type="#_x0000_t75" style="width:112.2pt;height:19.2pt" o:ole="">
            <v:imagedata r:id="rId30" o:title=""/>
          </v:shape>
          <o:OLEObject Type="Embed" ProgID="Equation.3" ShapeID="_x0000_i1038" DrawAspect="Content" ObjectID="_1829411865" r:id="rId31"/>
        </w:object>
      </w:r>
    </w:p>
    <w:p w14:paraId="099501C0" w14:textId="77777777" w:rsidR="00000000" w:rsidRDefault="00000000">
      <w:pPr>
        <w:ind w:firstLine="709"/>
        <w:rPr>
          <w:sz w:val="28"/>
          <w:szCs w:val="28"/>
        </w:rPr>
      </w:pPr>
    </w:p>
    <w:p w14:paraId="3470D79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>Убыль (расход)</w:t>
      </w:r>
      <w:r>
        <w:rPr>
          <w:sz w:val="28"/>
          <w:szCs w:val="28"/>
          <w:lang w:val="en-US"/>
        </w:rPr>
        <w:t>:</w:t>
      </w:r>
    </w:p>
    <w:p w14:paraId="680AFE6A" w14:textId="77777777" w:rsidR="00000000" w:rsidRDefault="00000000">
      <w:pPr>
        <w:ind w:firstLine="709"/>
        <w:rPr>
          <w:sz w:val="28"/>
          <w:szCs w:val="28"/>
        </w:rPr>
      </w:pPr>
    </w:p>
    <w:p w14:paraId="08CF0473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3081" w:dyaOrig="380" w14:anchorId="776A5A41">
          <v:shape id="_x0000_i1039" type="#_x0000_t75" style="width:154.2pt;height:19.2pt" o:ole="">
            <v:imagedata r:id="rId32" o:title=""/>
          </v:shape>
          <o:OLEObject Type="Embed" ProgID="Equation.3" ShapeID="_x0000_i1039" DrawAspect="Content" ObjectID="_1829411866" r:id="rId33"/>
        </w:object>
      </w:r>
    </w:p>
    <w:p w14:paraId="08EA5E6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233AEB2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исходного реагента, расходуемого на химическую реакцию:</w:t>
      </w:r>
    </w:p>
    <w:p w14:paraId="33C19504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1520" w:dyaOrig="400" w14:anchorId="46156823">
          <v:shape id="_x0000_i1040" type="#_x0000_t75" style="width:76.2pt;height:19.8pt" o:ole="">
            <v:imagedata r:id="rId34" o:title=""/>
          </v:shape>
          <o:OLEObject Type="Embed" ProgID="Equation.3" ShapeID="_x0000_i1040" DrawAspect="Content" ObjectID="_1829411867" r:id="rId35"/>
        </w:object>
      </w:r>
    </w:p>
    <w:p w14:paraId="247E96B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767CEC8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Уравнение материального баланса всего реактора:</w:t>
      </w:r>
    </w:p>
    <w:p w14:paraId="5474974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7DBBF8E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040" w:dyaOrig="760" w14:anchorId="3E48D3F7">
          <v:shape id="_x0000_i1041" type="#_x0000_t75" style="width:102pt;height:37.8pt" o:ole="">
            <v:imagedata r:id="rId36" o:title=""/>
          </v:shape>
          <o:OLEObject Type="Embed" ProgID="Equation.3" ShapeID="_x0000_i1041" DrawAspect="Content" ObjectID="_1829411868" r:id="rId37"/>
        </w:object>
      </w:r>
      <w:r>
        <w:rPr>
          <w:sz w:val="28"/>
          <w:szCs w:val="28"/>
        </w:rPr>
        <w:t xml:space="preserve"> (*)</w:t>
      </w:r>
    </w:p>
    <w:p w14:paraId="645078B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E34AF71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Уравнение (*) представляет собой характеристическое уравнение Р.И.В. Оно позволяет, если известна кинетика процесса, определить время пребывания реагентов, а затем и размеры реактора при заданных расходе реагентов и степени превращения или производительности реактора или при заданных размерах реактора и степени превращения.</w:t>
      </w:r>
    </w:p>
    <w:p w14:paraId="463B7883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Модель вытеснения можно применять для технических расчетов при проектировании жидкофазных трубчатых реакторов и для расчета камерных печей.</w:t>
      </w:r>
    </w:p>
    <w:p w14:paraId="728B1A2B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5D77E8FE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 xml:space="preserve">Программа для расчета, составляется в приложении </w:t>
      </w:r>
      <w:r>
        <w:rPr>
          <w:b/>
          <w:bCs/>
          <w:sz w:val="28"/>
          <w:szCs w:val="28"/>
          <w:lang w:val="en-US"/>
        </w:rPr>
        <w:t>REAC</w:t>
      </w:r>
    </w:p>
    <w:p w14:paraId="5C323E66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E90BF00" w14:textId="77777777" w:rsidR="00000000" w:rsidRDefault="00000000">
      <w:pPr>
        <w:ind w:firstLine="709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4400" w:dyaOrig="2040" w14:anchorId="0AF88EFD">
          <v:shape id="_x0000_i1042" type="#_x0000_t75" style="width:220.2pt;height:102pt" o:ole="">
            <v:imagedata r:id="rId38" o:title=""/>
          </v:shape>
          <o:OLEObject Type="Embed" ProgID="Equation.3" ShapeID="_x0000_i1042" DrawAspect="Content" ObjectID="_1829411869" r:id="rId39"/>
        </w:object>
      </w:r>
    </w:p>
    <w:p w14:paraId="61FC24B6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2380" w:dyaOrig="1520" w14:anchorId="7C9234BB">
          <v:shape id="_x0000_i1043" type="#_x0000_t75" style="width:118.8pt;height:76.2pt" o:ole="">
            <v:imagedata r:id="rId40" o:title=""/>
          </v:shape>
          <o:OLEObject Type="Embed" ProgID="Equation.3" ShapeID="_x0000_i1043" DrawAspect="Content" ObjectID="_1829411870" r:id="rId41"/>
        </w:object>
      </w:r>
    </w:p>
    <w:p w14:paraId="21193F6C" w14:textId="77777777" w:rsidR="00000000" w:rsidRDefault="00000000">
      <w:pPr>
        <w:ind w:firstLine="709"/>
        <w:rPr>
          <w:sz w:val="28"/>
          <w:szCs w:val="28"/>
        </w:rPr>
      </w:pPr>
    </w:p>
    <w:p w14:paraId="60A2DBE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процедура решения дифференциального уравнения </w:t>
      </w:r>
      <w:r>
        <w:rPr>
          <w:rFonts w:ascii="Microsoft Sans Serif" w:hAnsi="Microsoft Sans Serif" w:cs="Microsoft Sans Serif"/>
          <w:sz w:val="17"/>
          <w:szCs w:val="17"/>
        </w:rPr>
        <w:object w:dxaOrig="620" w:dyaOrig="279" w14:anchorId="0FFDEC50">
          <v:shape id="_x0000_i1044" type="#_x0000_t75" style="width:31.2pt;height:13.8pt" o:ole="">
            <v:imagedata r:id="rId42" o:title=""/>
          </v:shape>
          <o:OLEObject Type="Embed" ProgID="Equation.3" ShapeID="_x0000_i1044" DrawAspect="Content" ObjectID="_1829411871" r:id="rId43"/>
        </w:object>
      </w:r>
      <w:r>
        <w:rPr>
          <w:sz w:val="28"/>
          <w:szCs w:val="28"/>
        </w:rPr>
        <w:t>, параметры процедуры:</w:t>
      </w:r>
    </w:p>
    <w:p w14:paraId="62DA8282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искомая функция </w:t>
      </w:r>
      <w:r>
        <w:rPr>
          <w:rFonts w:ascii="Times New Roman" w:hAnsi="Times New Roman" w:cs="Times New Roman"/>
          <w:sz w:val="28"/>
          <w:szCs w:val="28"/>
          <w:rtl/>
        </w:rPr>
        <w:t>ٱ</w:t>
      </w:r>
      <w:r>
        <w:rPr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rtl/>
          <w:lang w:val="en-US"/>
        </w:rPr>
        <w:t>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аргументу </w:t>
      </w:r>
      <w:r>
        <w:rPr>
          <w:rFonts w:ascii="Times New Roman" w:hAnsi="Times New Roman" w:cs="Times New Roman"/>
          <w:sz w:val="28"/>
          <w:szCs w:val="28"/>
          <w:rtl/>
        </w:rPr>
        <w:t>ٱ</w:t>
      </w:r>
      <w:r>
        <w:rPr>
          <w:sz w:val="28"/>
          <w:szCs w:val="28"/>
          <w:lang w:val="en-US"/>
        </w:rPr>
        <w:t>TAU</w:t>
      </w:r>
      <w:r>
        <w:rPr>
          <w:rFonts w:ascii="Times New Roman" w:hAnsi="Times New Roman" w:cs="Times New Roman"/>
          <w:sz w:val="28"/>
          <w:szCs w:val="28"/>
          <w:rtl/>
          <w:lang w:val="en-US"/>
        </w:rPr>
        <w:t>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!</w:t>
      </w:r>
    </w:p>
    <w:p w14:paraId="73CD9668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начальное значение аргумента </w:t>
      </w:r>
      <w:r>
        <w:rPr>
          <w:rFonts w:ascii="Times New Roman" w:hAnsi="Times New Roman" w:cs="Times New Roman"/>
          <w:sz w:val="28"/>
          <w:szCs w:val="28"/>
          <w:rtl/>
        </w:rPr>
        <w:t>ٱ</w:t>
      </w:r>
      <w:r>
        <w:rPr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sz w:val="28"/>
          <w:szCs w:val="28"/>
          <w:rtl/>
          <w:lang w:val="en-US"/>
        </w:rPr>
        <w:t>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конечное значение аргумента </w:t>
      </w:r>
      <w:r>
        <w:rPr>
          <w:rFonts w:ascii="Times New Roman" w:hAnsi="Times New Roman" w:cs="Times New Roman"/>
          <w:sz w:val="28"/>
          <w:szCs w:val="28"/>
          <w:rtl/>
        </w:rPr>
        <w:t>ٱ</w:t>
      </w:r>
      <w:r>
        <w:rPr>
          <w:sz w:val="28"/>
          <w:szCs w:val="28"/>
          <w:lang w:val="en-US"/>
        </w:rPr>
        <w:t>TAUk</w:t>
      </w:r>
      <w:r>
        <w:rPr>
          <w:rFonts w:ascii="Times New Roman" w:hAnsi="Times New Roman" w:cs="Times New Roman"/>
          <w:sz w:val="28"/>
          <w:szCs w:val="28"/>
          <w:rtl/>
          <w:lang w:val="en-US"/>
        </w:rPr>
        <w:t>ٱ</w:t>
      </w:r>
      <w:r>
        <w:rPr>
          <w:sz w:val="28"/>
          <w:szCs w:val="28"/>
        </w:rPr>
        <w:t>!</w:t>
      </w:r>
    </w:p>
    <w:p w14:paraId="3110042D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идент-р. произв. </w:t>
      </w:r>
      <w:r>
        <w:rPr>
          <w:rFonts w:ascii="Times New Roman" w:hAnsi="Times New Roman" w:cs="Times New Roman"/>
          <w:sz w:val="28"/>
          <w:szCs w:val="28"/>
          <w:rtl/>
        </w:rPr>
        <w:t>ٱ</w:t>
      </w:r>
      <w:r>
        <w:rPr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  <w:rtl/>
          <w:lang w:val="en-US"/>
        </w:rPr>
        <w:t>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начальных значений функции </w:t>
      </w:r>
      <w:r>
        <w:rPr>
          <w:rFonts w:ascii="Times New Roman" w:hAnsi="Times New Roman" w:cs="Times New Roman"/>
          <w:sz w:val="28"/>
          <w:szCs w:val="28"/>
          <w:rtl/>
        </w:rPr>
        <w:t>ٱ</w:t>
      </w:r>
      <w:r>
        <w:rPr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rtl/>
        </w:rPr>
        <w:t xml:space="preserve">ٱ </w:t>
      </w:r>
      <w:r>
        <w:rPr>
          <w:sz w:val="28"/>
          <w:szCs w:val="28"/>
        </w:rPr>
        <w:t>!</w:t>
      </w:r>
    </w:p>
    <w:p w14:paraId="4E7CF782" w14:textId="77777777" w:rsidR="00000000" w:rsidRDefault="00000000">
      <w:pPr>
        <w:ind w:firstLine="709"/>
        <w:rPr>
          <w:sz w:val="28"/>
          <w:szCs w:val="28"/>
        </w:rPr>
      </w:pPr>
    </w:p>
    <w:p w14:paraId="2B3002CE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6901" w:dyaOrig="5161" w14:anchorId="1B5F6EA4">
          <v:shape id="_x0000_i1045" type="#_x0000_t75" style="width:345pt;height:258pt" o:ole="">
            <v:imagedata r:id="rId44" o:title=""/>
          </v:shape>
          <o:OLEObject Type="Embed" ProgID="Equation.3" ShapeID="_x0000_i1045" DrawAspect="Content" ObjectID="_1829411872" r:id="rId45"/>
        </w:object>
      </w:r>
    </w:p>
    <w:p w14:paraId="6BE864BC" w14:textId="77777777" w:rsidR="00000000" w:rsidRDefault="00000000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sz w:val="17"/>
          <w:szCs w:val="17"/>
        </w:rPr>
        <w:object w:dxaOrig="4901" w:dyaOrig="480" w14:anchorId="3724382F">
          <v:shape id="_x0000_i1046" type="#_x0000_t75" style="width:244.8pt;height:24pt" o:ole="">
            <v:imagedata r:id="rId46" o:title=""/>
          </v:shape>
          <o:OLEObject Type="Embed" ProgID="Equation.3" ShapeID="_x0000_i1046" DrawAspect="Content" ObjectID="_1829411873" r:id="rId47"/>
        </w:object>
      </w:r>
    </w:p>
    <w:p w14:paraId="4D6D8093" w14:textId="77777777" w:rsidR="00000000" w:rsidRDefault="00000000">
      <w:pPr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Результаты расчетов:</w:t>
      </w:r>
    </w:p>
    <w:p w14:paraId="7CEA600A" w14:textId="77777777" w:rsidR="00000000" w:rsidRDefault="00000000">
      <w:pPr>
        <w:ind w:firstLine="709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"/>
        <w:gridCol w:w="1094"/>
      </w:tblGrid>
      <w:tr w:rsidR="00000000" w14:paraId="3C144E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5B4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Tо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0E7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</w:t>
            </w:r>
          </w:p>
        </w:tc>
      </w:tr>
      <w:tr w:rsidR="00000000" w14:paraId="16E493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D023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9F54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899,129</w:t>
            </w:r>
          </w:p>
        </w:tc>
      </w:tr>
      <w:tr w:rsidR="00000000" w14:paraId="071F9C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E009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3FD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984,872</w:t>
            </w:r>
          </w:p>
        </w:tc>
      </w:tr>
      <w:tr w:rsidR="00000000" w14:paraId="66CDC0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92F7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020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1069,380</w:t>
            </w:r>
          </w:p>
        </w:tc>
      </w:tr>
      <w:tr w:rsidR="00000000" w14:paraId="73A5A7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CD0CA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2C61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1141,420</w:t>
            </w:r>
          </w:p>
        </w:tc>
      </w:tr>
      <w:tr w:rsidR="00000000" w14:paraId="1F3BA2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85E4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5BDB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1199,770</w:t>
            </w:r>
          </w:p>
        </w:tc>
      </w:tr>
      <w:tr w:rsidR="00000000" w14:paraId="2959D8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69305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3045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1242,670</w:t>
            </w:r>
          </w:p>
        </w:tc>
      </w:tr>
      <w:tr w:rsidR="00000000" w14:paraId="4AA4A9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5D6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2D8D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1270,040</w:t>
            </w:r>
          </w:p>
        </w:tc>
      </w:tr>
      <w:tr w:rsidR="00000000" w14:paraId="7CBF7C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49ED3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CA1D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1281,800</w:t>
            </w:r>
          </w:p>
        </w:tc>
      </w:tr>
      <w:tr w:rsidR="00000000" w14:paraId="2779B1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C18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9CCFC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1277,890</w:t>
            </w:r>
          </w:p>
        </w:tc>
      </w:tr>
      <w:tr w:rsidR="00000000" w14:paraId="36E56C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ACAFF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48BE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1258,640</w:t>
            </w:r>
          </w:p>
        </w:tc>
      </w:tr>
      <w:tr w:rsidR="00000000" w14:paraId="02373E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3292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BF58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1225,190</w:t>
            </w:r>
          </w:p>
        </w:tc>
      </w:tr>
      <w:tr w:rsidR="00000000" w14:paraId="0D764C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A2350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98669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1177,820</w:t>
            </w:r>
          </w:p>
        </w:tc>
      </w:tr>
      <w:tr w:rsidR="00000000" w14:paraId="4F4926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9D7B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02144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1117,850</w:t>
            </w:r>
          </w:p>
        </w:tc>
      </w:tr>
      <w:tr w:rsidR="00000000" w14:paraId="6152D1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C1BA6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D8061" w14:textId="77777777" w:rsidR="0000000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1046,690</w:t>
            </w:r>
          </w:p>
        </w:tc>
      </w:tr>
    </w:tbl>
    <w:p w14:paraId="413226B8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14:paraId="3C04299A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Графические зависимости</w:t>
      </w:r>
    </w:p>
    <w:p w14:paraId="06BCBABC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1548435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График зависимости производительности реактора от температуры газового потока на входе в реактор.</w:t>
      </w:r>
    </w:p>
    <w:p w14:paraId="7260AAC9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184D071" w14:textId="140AF9F1" w:rsidR="00000000" w:rsidRDefault="003E36D1">
      <w:pPr>
        <w:ind w:firstLine="709"/>
        <w:rPr>
          <w:sz w:val="28"/>
          <w:szCs w:val="28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38C3C2B" wp14:editId="561C3ADC">
            <wp:extent cx="5448300" cy="5928360"/>
            <wp:effectExtent l="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D366C" w14:textId="77777777" w:rsidR="00000000" w:rsidRDefault="00000000">
      <w:pPr>
        <w:ind w:firstLine="709"/>
        <w:rPr>
          <w:sz w:val="28"/>
          <w:szCs w:val="28"/>
        </w:rPr>
      </w:pPr>
    </w:p>
    <w:p w14:paraId="4A5DAFFE" w14:textId="77777777" w:rsidR="00000000" w:rsidRDefault="00000000">
      <w:pPr>
        <w:pStyle w:val="1"/>
        <w:shd w:val="clear" w:color="000000" w:fill="auto"/>
        <w:suppressAutoHyphens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Заключение</w:t>
      </w:r>
    </w:p>
    <w:p w14:paraId="073571A7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855C6FF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увеличении температуры газового потока на входе в реактор производительность реактора возрастает практически прямолинейно. Но при достижении температуры, равной 775 (град.) производительность реактора достигает максимального значения и составляет 1281,8 м3/г, после чего с ростом температуры производительность падает.</w:t>
      </w:r>
    </w:p>
    <w:p w14:paraId="7DBFE85E" w14:textId="77777777" w:rsidR="00000000" w:rsidRDefault="00000000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в этой работе мы теоретически определили при какой температуре производительность реактора будет максимальной.</w:t>
      </w:r>
    </w:p>
    <w:p w14:paraId="46426625" w14:textId="77777777" w:rsidR="00BD3047" w:rsidRDefault="00BD3047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sectPr w:rsidR="00BD304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D1"/>
    <w:rsid w:val="003E36D1"/>
    <w:rsid w:val="00BD3047"/>
    <w:rsid w:val="00D3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BC60C"/>
  <w14:defaultImageDpi w14:val="0"/>
  <w15:docId w15:val="{A77C8216-E4DE-4952-9459-E569B686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50" Type="http://schemas.openxmlformats.org/officeDocument/2006/relationships/theme" Target="theme/theme1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501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2026-01-08T18:11:00Z</dcterms:created>
  <dcterms:modified xsi:type="dcterms:W3CDTF">2026-01-08T18:11:00Z</dcterms:modified>
</cp:coreProperties>
</file>