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F1BD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Введение</w:t>
      </w:r>
    </w:p>
    <w:p w14:paraId="776B4E1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A9F732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Целью данной курсовой работы является исследование зависимости свойств соединений от их строения и определение типов изомерии координационных соединений.</w:t>
      </w:r>
    </w:p>
    <w:p w14:paraId="0210FB2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задачи входит:</w:t>
      </w:r>
    </w:p>
    <w:p w14:paraId="607EECA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Определение типов изомерии</w:t>
      </w:r>
    </w:p>
    <w:p w14:paraId="004A212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Исследование влияния строения вещества на его свойства</w:t>
      </w:r>
    </w:p>
    <w:p w14:paraId="36E5EAF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Различия между изомерами одного состава</w:t>
      </w:r>
    </w:p>
    <w:p w14:paraId="2D7503B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Определение возможного числа конфигураций для каждого координационного числа</w:t>
      </w:r>
    </w:p>
    <w:p w14:paraId="7D1C6BD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Комплексные соединения представляют собой обширный класс химических веществ, количество которых значительно превышает число обычных, "простых" неорганических соединений. Знание строения и свойств комплексных соединений, закономерности их образования позволяют ориентироваться в вопросах природы химической связи, теории растворов, стереохимии неорганических веществ.</w:t>
      </w:r>
    </w:p>
    <w:p w14:paraId="46628B5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Комплексные соединения входят в состав важнейших биологически активных и лекарственных веществ: гемоглобина(комплекс железа), хлорофилла (комплекс магния), инсулина(комплекс цинка), витамина В12 (комплекс кобальта), ряда противораковых препаратов (комплексы платины).</w:t>
      </w:r>
    </w:p>
    <w:p w14:paraId="4D899B0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В органическом синтезе многие комплексные соединения вляются катализаторами или промежуточными продуктами(соединения ртути в реакции Кучерова, комплекс титана при полимеризации олефинов, соединения меди при окислении углеводородов и т.д.).</w:t>
      </w:r>
    </w:p>
    <w:p w14:paraId="330DE58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В металлургии комплексные соединения используются для получения и очистки металлов.</w:t>
      </w:r>
    </w:p>
    <w:p w14:paraId="372BB23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 Комплексные соединения широко применяются в качестве реактивов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при качественном и количественном анализе.</w:t>
      </w:r>
    </w:p>
    <w:p w14:paraId="226145C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08BE633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1.Геометрия координационных соединений</w:t>
      </w:r>
    </w:p>
    <w:p w14:paraId="0AF12E3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186C9C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По определению операция симметрии переводит ядра молекулы в положение, неотличимое от исходного. Обычным для молекул операциям симметрии ставят в соответствие операторы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Cn</w:t>
      </w:r>
      <w:r>
        <w:rPr>
          <w:rFonts w:ascii="Times New Roman" w:hAnsi="Times New Roman" w:cs="Times New Roman"/>
          <w:kern w:val="0"/>
          <w:sz w:val="28"/>
          <w:szCs w:val="28"/>
        </w:rPr>
        <w:t>,σ,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 т.д. Действие оператора А на объект Х, в результате которого получается объект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Y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 записывают в виде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Y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AX</w:t>
      </w:r>
      <w:r>
        <w:rPr>
          <w:rFonts w:ascii="Times New Roman CYR" w:hAnsi="Times New Roman CYR" w:cs="Times New Roman CYR"/>
          <w:kern w:val="0"/>
          <w:sz w:val="28"/>
          <w:szCs w:val="28"/>
        </w:rPr>
        <w:t>. Совокупность всех операций симметрии из числа приведенных в таблице, которые можно выполнить для данной молекулы, обладает свойствами группы. Так как любая из этих операций составляет по крайней мере одну из точек молекулы неподвижной.</w:t>
      </w:r>
    </w:p>
    <w:p w14:paraId="0AF789F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573DAA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Таблица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7000"/>
      </w:tblGrid>
      <w:tr w:rsidR="00000000" w14:paraId="17789B7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865C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Обознач.</w:t>
            </w:r>
          </w:p>
        </w:tc>
        <w:tc>
          <w:tcPr>
            <w:tcW w:w="7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4673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Операция</w:t>
            </w:r>
          </w:p>
        </w:tc>
      </w:tr>
      <w:tr w:rsidR="00000000" w14:paraId="59E4EC6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1396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E</w:t>
            </w:r>
          </w:p>
        </w:tc>
        <w:tc>
          <w:tcPr>
            <w:tcW w:w="7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463C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Тождественное преобразование</w:t>
            </w:r>
          </w:p>
        </w:tc>
      </w:tr>
      <w:tr w:rsidR="00000000" w14:paraId="5DA7619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E628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C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bscript"/>
                <w:lang w:val="en-US"/>
              </w:rPr>
              <w:t>n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  <w:lang w:val="en-US"/>
              </w:rPr>
              <w:t>k</w:t>
            </w:r>
          </w:p>
        </w:tc>
        <w:tc>
          <w:tcPr>
            <w:tcW w:w="7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745A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k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-Кратный поворот вокруг оси на угол 2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  <w:t>π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/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n</w:t>
            </w:r>
          </w:p>
        </w:tc>
      </w:tr>
      <w:tr w:rsidR="00000000" w14:paraId="45A2ADA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6F25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σ</w:t>
            </w:r>
          </w:p>
        </w:tc>
        <w:tc>
          <w:tcPr>
            <w:tcW w:w="7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B8DF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От. плоскости: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σ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bscript"/>
                <w:lang w:val="en-US"/>
              </w:rPr>
              <w:t>h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- в плоскости, перп. главной оси (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h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- гор.);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σ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bscript"/>
                <w:lang w:val="en-US"/>
              </w:rPr>
              <w:t>h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- в плоскости, содер. главную ось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(ν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- вертикальная);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σ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bscript"/>
                <w:lang w:val="en-US"/>
              </w:rPr>
              <w:t>d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- в диагональной (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d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) плоскости.</w:t>
            </w:r>
          </w:p>
        </w:tc>
      </w:tr>
      <w:tr w:rsidR="00000000" w14:paraId="3F47553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BABF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S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bscript"/>
                <w:lang w:val="en-US"/>
              </w:rPr>
              <w:t>n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  <w:lang w:val="en-US"/>
              </w:rPr>
              <w:t>k</w:t>
            </w:r>
          </w:p>
        </w:tc>
        <w:tc>
          <w:tcPr>
            <w:tcW w:w="7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1F31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K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- Кратный поворот вокруг оси на угол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2π/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n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с последующим отражением в плоскости, перпен. оси поворота (ось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S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bscript"/>
                <w:lang w:val="en-US"/>
              </w:rPr>
              <w:t>n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называют зеркально-поворотной)</w:t>
            </w:r>
          </w:p>
        </w:tc>
      </w:tr>
      <w:tr w:rsidR="00000000" w14:paraId="004113E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D81C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l</w:t>
            </w:r>
          </w:p>
        </w:tc>
        <w:tc>
          <w:tcPr>
            <w:tcW w:w="7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8F58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Инверсия в центре симметрии</w:t>
            </w:r>
          </w:p>
        </w:tc>
      </w:tr>
    </w:tbl>
    <w:p w14:paraId="5BA4DA6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E5CAE8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Группой порядка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в математике называют множество из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элементов, которое имеет следующие свойства:</w:t>
      </w:r>
    </w:p>
    <w:p w14:paraId="24A0C0A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Произведение АВ любых двух элементов множества принадлежит тому же множеству.</w:t>
      </w:r>
    </w:p>
    <w:p w14:paraId="460C467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Соблюдается ассоциативный закон умножения, т.е. (АВ)С = А(ВС).</w:t>
      </w:r>
    </w:p>
    <w:p w14:paraId="5FF86E7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В группе существует единичный элемент Е и для всех элементов группы справедливо равенство ЕА = АЕ = А.</w:t>
      </w:r>
    </w:p>
    <w:p w14:paraId="58B1C0C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Каждому элементу А соответствует элемент А-1, называемый обратным, и справедливы равенства</w:t>
      </w:r>
    </w:p>
    <w:p w14:paraId="363CDF45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584E192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А-1А = АА-1 = Е.</w:t>
      </w:r>
    </w:p>
    <w:p w14:paraId="4727EB1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173EB1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описании структур соединений их обычно сопоставляют с одной их идеализированных конфигураций. Для каждой из них указаны: индекс в системе номенклатуры, предложенной Пастернаком и Мак-Доннелом: наименование, обозначение группы симметрии и примеры молекул или ионов, в которых такие конфигурации реализуются.</w:t>
      </w:r>
    </w:p>
    <w:p w14:paraId="370DA6B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координациооного числа 2:</w:t>
      </w:r>
    </w:p>
    <w:p w14:paraId="21C2B06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4F51530" w14:textId="2EA34C3C" w:rsidR="00000000" w:rsidRDefault="00FC732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CEED74B" wp14:editId="2E6332DE">
            <wp:extent cx="2141220" cy="541020"/>
            <wp:effectExtent l="0" t="0" r="0" b="0"/>
            <wp:docPr id="1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AA2C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а) Линейная форма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Ag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)2]3- в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Na</w:t>
      </w:r>
      <w:r>
        <w:rPr>
          <w:rFonts w:ascii="Times New Roman CYR" w:hAnsi="Times New Roman CYR" w:cs="Times New Roman CYR"/>
          <w:kern w:val="0"/>
          <w:sz w:val="28"/>
          <w:szCs w:val="28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AgO</w:t>
      </w:r>
      <w:r>
        <w:rPr>
          <w:rFonts w:ascii="Times New Roman CYR" w:hAnsi="Times New Roman CYR" w:cs="Times New Roman CYR"/>
          <w:kern w:val="0"/>
          <w:sz w:val="28"/>
          <w:szCs w:val="28"/>
        </w:rPr>
        <w:t>2 б) Изогнутая частица</w:t>
      </w:r>
    </w:p>
    <w:p w14:paraId="2982E1E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D20B38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координационного числа 3:</w:t>
      </w:r>
    </w:p>
    <w:p w14:paraId="0A93473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F20ADCD" w14:textId="58834CFE" w:rsidR="00000000" w:rsidRDefault="00FC732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1C64530" wp14:editId="6EF217AD">
            <wp:extent cx="3329940" cy="624840"/>
            <wp:effectExtent l="0" t="0" r="0" b="0"/>
            <wp:docPr id="2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B8659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а) правильный треугольник б) тригональная пирамида в) равнобедренный треугольник</w:t>
      </w:r>
    </w:p>
    <w:p w14:paraId="441F379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CA36EF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координационного числа 4:</w:t>
      </w:r>
    </w:p>
    <w:p w14:paraId="24E604C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7512AF8" w14:textId="30BB0359" w:rsidR="00000000" w:rsidRDefault="00FC732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E5946D6" wp14:editId="13A15EB5">
            <wp:extent cx="3825240" cy="693420"/>
            <wp:effectExtent l="0" t="0" r="0" b="0"/>
            <wp:docPr id="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24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EA312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а) тетраэдр б) квадрат с) тетрагональная пирамида с атомом металла в вершине</w:t>
      </w:r>
    </w:p>
    <w:p w14:paraId="066D7753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br w:type="page"/>
      </w:r>
    </w:p>
    <w:p w14:paraId="308754E4" w14:textId="457573EF" w:rsidR="00000000" w:rsidRDefault="00FC732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1FF5816" wp14:editId="0EA75BB2">
            <wp:extent cx="1059180" cy="815340"/>
            <wp:effectExtent l="0" t="0" r="0" b="0"/>
            <wp:docPr id="4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068F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г) «указатель» один из возможных типов искаженных тетраэдров</w:t>
      </w:r>
    </w:p>
    <w:p w14:paraId="2057F08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8B22262" w14:textId="12F9F79B" w:rsidR="00000000" w:rsidRDefault="00FC732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BE2FD63" wp14:editId="10B1E063">
            <wp:extent cx="5135880" cy="853440"/>
            <wp:effectExtent l="0" t="0" r="0" b="0"/>
            <wp:docPr id="5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88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DF92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а) тригональная бипирамида б) тетрагональная пирамида. в) плоский пятиугольник г) пентагональная пирамида с атомом метала в вершине</w:t>
      </w:r>
    </w:p>
    <w:p w14:paraId="22ACD23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B0981E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координационного числа 6:</w:t>
      </w:r>
    </w:p>
    <w:p w14:paraId="16C8CF9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0D16DF6" w14:textId="597FBF37" w:rsidR="00000000" w:rsidRDefault="00FC732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E1F9E0D" wp14:editId="02F3AEA6">
            <wp:extent cx="4815840" cy="990600"/>
            <wp:effectExtent l="0" t="0" r="0" b="0"/>
            <wp:docPr id="6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584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44B7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а) октаэдр б) тригональная призма в)плоский шестиугольник. г) пентагональная пирамида</w:t>
      </w:r>
    </w:p>
    <w:p w14:paraId="2180BB1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295987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координационного числа 7:</w:t>
      </w:r>
    </w:p>
    <w:p w14:paraId="200657BC" w14:textId="05C9384D" w:rsidR="00000000" w:rsidRDefault="00FC732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DFF1F75" wp14:editId="0D580BCC">
            <wp:extent cx="4023360" cy="1028700"/>
            <wp:effectExtent l="0" t="0" r="0" b="0"/>
            <wp:docPr id="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0869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а) пентагональная бипирамида б) одношапочная трипирамида в) одношапочный октаэдр</w:t>
      </w:r>
    </w:p>
    <w:p w14:paraId="4818FB2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1687B10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2045D18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координационного числа 8:</w:t>
      </w:r>
    </w:p>
    <w:p w14:paraId="318320A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E885D08" w14:textId="425E6C6C" w:rsidR="00000000" w:rsidRDefault="00FC732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F6690F7" wp14:editId="0A538D3F">
            <wp:extent cx="3429000" cy="1036320"/>
            <wp:effectExtent l="0" t="0" r="0" b="0"/>
            <wp:docPr id="8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5BA2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а) додекаэдр с треугольными гранями б) архимдова антипризма в) двухшапочная тригональная пирамида</w:t>
      </w:r>
    </w:p>
    <w:p w14:paraId="79A291B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CBCF620" w14:textId="6D0973D0" w:rsidR="00000000" w:rsidRDefault="00FC732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CD415D1" wp14:editId="4B7BF241">
            <wp:extent cx="2080260" cy="815340"/>
            <wp:effectExtent l="0" t="0" r="0" b="0"/>
            <wp:docPr id="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B2DB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г) куб д) гексагональная бипирамида</w:t>
      </w:r>
    </w:p>
    <w:p w14:paraId="0155F50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9A64A8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координационного числа 9:</w:t>
      </w:r>
    </w:p>
    <w:p w14:paraId="5B85612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6EDDBA2" w14:textId="0B81C128" w:rsidR="00000000" w:rsidRDefault="00FC732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F55D4B6" wp14:editId="23E7B7C5">
            <wp:extent cx="2743200" cy="1264920"/>
            <wp:effectExtent l="0" t="0" r="0" b="0"/>
            <wp:docPr id="1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F98F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а) тригональная биантипризма б) одношапочная квадратная антипризма</w:t>
      </w:r>
    </w:p>
    <w:p w14:paraId="076CF22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992D6F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2.Геометрическая изомерия</w:t>
      </w:r>
    </w:p>
    <w:p w14:paraId="114E049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9140C7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Теоретическое значение координационной теории, созданной А. Вернером, состоит в том, что она впервые внесла в неорганическую химию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пространственные представления. Явление геометрической изомерии сыграло важную роль в становлении и утверждении координационной теории.</w:t>
      </w:r>
    </w:p>
    <w:p w14:paraId="112F471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Геометрическая изомерия связана с различным взаимным расположением лигандов во внутренней координационной сфере комплекса.</w:t>
      </w:r>
    </w:p>
    <w:p w14:paraId="5DC6FB9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Рассмотрим соображения, которые позволили Вернеру еще в 1893 году, задолго до появления рентгеноструктурного анализа высказать вполне обоснованные представления о пространственном строении комплексных ионов, центральные атомы которых имеют координационные числа 4 и6.</w:t>
      </w:r>
    </w:p>
    <w:p w14:paraId="35AFDA6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Выводы о пространственном строении Вернер сделал на основании сопоставления числа изомеров, которые могут получиться из данного соединения в результате реакций замещения.</w:t>
      </w:r>
    </w:p>
    <w:p w14:paraId="365B755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Рассматривая пространственную конфигурацию комплексов с к.ч. 6 нужно было представить, какими способами могут разместиться шесть точек относительно седьмой, являющейся центром.</w:t>
      </w:r>
    </w:p>
    <w:p w14:paraId="6DB274F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изображения строения таких ионов могут быть использованы три модели: шестиугольника, призмы и октаэдра:</w:t>
      </w:r>
    </w:p>
    <w:p w14:paraId="723DC4B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6B0F8CC" w14:textId="1E0D23FF" w:rsidR="00000000" w:rsidRDefault="00FC732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ACDFF3E" wp14:editId="5B0D0888">
            <wp:extent cx="1409700" cy="792480"/>
            <wp:effectExtent l="0" t="0" r="0" b="0"/>
            <wp:docPr id="1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5933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</w:t>
      </w:r>
    </w:p>
    <w:p w14:paraId="1E2E389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E3CEF5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Если взять симметрично построенные ионы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Me</w:t>
      </w:r>
      <w:r>
        <w:rPr>
          <w:rFonts w:ascii="Times New Roman CYR" w:hAnsi="Times New Roman CYR" w:cs="Times New Roman CYR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6</w:t>
      </w:r>
      <w:r>
        <w:rPr>
          <w:rFonts w:ascii="Times New Roman CYR" w:hAnsi="Times New Roman CYR" w:cs="Times New Roman CYR"/>
          <w:kern w:val="0"/>
          <w:sz w:val="28"/>
          <w:szCs w:val="28"/>
        </w:rPr>
        <w:t>] или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MeCl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6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], то никаких оснований предпочесть одну из этих моделей не будет. Если заменить одну из молекул аммиака какой-нибудь другой молекулой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L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или кислотным остатком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X</w:t>
      </w:r>
      <w:r>
        <w:rPr>
          <w:rFonts w:ascii="Times New Roman CYR" w:hAnsi="Times New Roman CYR" w:cs="Times New Roman CYR"/>
          <w:kern w:val="0"/>
          <w:sz w:val="28"/>
          <w:szCs w:val="28"/>
        </w:rPr>
        <w:t>, получится ион состава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Me</w:t>
      </w:r>
      <w:r>
        <w:rPr>
          <w:rFonts w:ascii="Times New Roman CYR" w:hAnsi="Times New Roman CYR" w:cs="Times New Roman CYR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5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X</w:t>
      </w:r>
      <w:r>
        <w:rPr>
          <w:rFonts w:ascii="Times New Roman CYR" w:hAnsi="Times New Roman CYR" w:cs="Times New Roman CYR"/>
          <w:kern w:val="0"/>
          <w:sz w:val="28"/>
          <w:szCs w:val="28"/>
        </w:rPr>
        <w:t>] и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Me</w:t>
      </w:r>
      <w:r>
        <w:rPr>
          <w:rFonts w:ascii="Times New Roman CYR" w:hAnsi="Times New Roman CYR" w:cs="Times New Roman CYR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5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L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]. Поскольку в исходном комплексе все молекулы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равноценны, замещение одной молекулы не дает возможности сделать выбор между тремя приведенными моделями. Если же заменить вторую молекулу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лигандом Х (или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L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),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получится комплекс состава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Me</w:t>
      </w:r>
      <w:r>
        <w:rPr>
          <w:rFonts w:ascii="Times New Roman CYR" w:hAnsi="Times New Roman CYR" w:cs="Times New Roman CYR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X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], расположение лигандов в котором может быть различным. Если исходить из модели шестиугольника, ион [Me(NH3)4X2] должен существовать в виде трех изомеров.</w:t>
      </w:r>
    </w:p>
    <w:p w14:paraId="32B790B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7376C5C" w14:textId="27C29F45" w:rsidR="00000000" w:rsidRDefault="00FC732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BC5BF0D" wp14:editId="6E0743D8">
            <wp:extent cx="3962400" cy="1356360"/>
            <wp:effectExtent l="0" t="0" r="0" b="0"/>
            <wp:docPr id="1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4E1E2" w14:textId="77777777" w:rsidR="00000000" w:rsidRDefault="00000000">
      <w:pPr>
        <w:keepNext/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</w:t>
      </w:r>
    </w:p>
    <w:p w14:paraId="519A7A7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E59C9A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Если исходить из модели призмы, то соединение [Me(NH3)4X2] также должно существовать в виде трех изомеров.</w:t>
      </w:r>
    </w:p>
    <w:p w14:paraId="4599E70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то же время модель октаэдра позволяет предсказать для иона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Me</w:t>
      </w:r>
      <w:r>
        <w:rPr>
          <w:rFonts w:ascii="Times New Roman CYR" w:hAnsi="Times New Roman CYR" w:cs="Times New Roman CYR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X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] наличие только двух изомеров.</w:t>
      </w:r>
    </w:p>
    <w:p w14:paraId="3C3FFB5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D98FFC1" w14:textId="1CB886DA" w:rsidR="00000000" w:rsidRDefault="00FC732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C3EFAD0" wp14:editId="606BA57D">
            <wp:extent cx="3375660" cy="1280160"/>
            <wp:effectExtent l="0" t="0" r="0" b="0"/>
            <wp:docPr id="1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66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88B31" w14:textId="77777777" w:rsidR="00000000" w:rsidRDefault="00000000">
      <w:pPr>
        <w:keepNext/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</w:t>
      </w:r>
    </w:p>
    <w:p w14:paraId="0420CF3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9BA208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 одном изомере группы Х находятся в соседних вершинах октаэдра. Этот изомер получил название цис-изомера (от лат.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Cis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- вместе). В другом изомере группы Х расположены друг против друга. Этот изомер называется транс-изомером (от лат.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Trans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напротив).</w:t>
      </w:r>
    </w:p>
    <w:p w14:paraId="747FF4E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Итак, октаэдрическая модель требует отсутствия изомерии для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Me</w:t>
      </w:r>
      <w:r>
        <w:rPr>
          <w:rFonts w:ascii="Times New Roman CYR" w:hAnsi="Times New Roman CYR" w:cs="Times New Roman CYR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6</w:t>
      </w:r>
      <w:r>
        <w:rPr>
          <w:rFonts w:ascii="Times New Roman CYR" w:hAnsi="Times New Roman CYR" w:cs="Times New Roman CYR"/>
          <w:kern w:val="0"/>
          <w:sz w:val="28"/>
          <w:szCs w:val="28"/>
        </w:rPr>
        <w:t>] и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Me</w:t>
      </w:r>
      <w:r>
        <w:rPr>
          <w:rFonts w:ascii="Times New Roman CYR" w:hAnsi="Times New Roman CYR" w:cs="Times New Roman CYR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5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X</w:t>
      </w:r>
      <w:r>
        <w:rPr>
          <w:rFonts w:ascii="Times New Roman CYR" w:hAnsi="Times New Roman CYR" w:cs="Times New Roman CYR"/>
          <w:kern w:val="0"/>
          <w:sz w:val="28"/>
          <w:szCs w:val="28"/>
        </w:rPr>
        <w:t>] и наличия двух изомеров для ионов типа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Me</w:t>
      </w:r>
      <w:r>
        <w:rPr>
          <w:rFonts w:ascii="Times New Roman CYR" w:hAnsi="Times New Roman CYR" w:cs="Times New Roman CYR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X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], т.е. для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соединений, во внутренней сфере которых находятся четыре одинаковых лиганда и два других, одинаковых между собой, отличающихся от четырех остальных. Химическая природа лигандов не имеет значения.</w:t>
      </w:r>
    </w:p>
    <w:p w14:paraId="6BE30B9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Еще до появления координационной теории были получены два изомера соединений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Coen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]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X</w:t>
      </w:r>
      <w:r>
        <w:rPr>
          <w:rFonts w:ascii="Times New Roman CYR" w:hAnsi="Times New Roman CYR" w:cs="Times New Roman CYR"/>
          <w:kern w:val="0"/>
          <w:sz w:val="28"/>
          <w:szCs w:val="28"/>
        </w:rPr>
        <w:t>и два изомера состава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]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X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003FCF2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связи с этим было принято, что координационному числу шесть соответствует модель октаэдра. Центральный атом находится в центре октаэдра, а лиганды в вершинах. Монодентантные лиганды занимают одну вершину октаэдра, а бидентантные - две соседние вершины.</w:t>
      </w:r>
    </w:p>
    <w:p w14:paraId="2AFB19C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E17F45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3.Конформационная изомерия</w:t>
      </w:r>
    </w:p>
    <w:p w14:paraId="780616D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CA7BAA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Конформациями называются различные пространственные формы иона или молекулы, возникающие в результате вращения групп атомов вокруг некоторых связей, изменения длин связей и т.д. например, при вращении лиганда вокруг одинарной связи металл - лиганд конформация определяется углом поворота 0</w:t>
      </w:r>
      <w:r>
        <w:rPr>
          <w:rFonts w:ascii="Cambria Math" w:hAnsi="Cambria Math" w:cs="Cambria Math"/>
          <w:kern w:val="0"/>
          <w:sz w:val="28"/>
          <w:szCs w:val="28"/>
        </w:rPr>
        <w:t>≤</w:t>
      </w:r>
      <w:r>
        <w:rPr>
          <w:rFonts w:ascii="Times New Roman" w:hAnsi="Times New Roman" w:cs="Times New Roman"/>
          <w:kern w:val="0"/>
          <w:sz w:val="28"/>
          <w:szCs w:val="28"/>
        </w:rPr>
        <w:t>φ</w:t>
      </w:r>
      <w:r>
        <w:rPr>
          <w:rFonts w:ascii="Cambria Math" w:hAnsi="Cambria Math" w:cs="Cambria Math"/>
          <w:kern w:val="0"/>
          <w:sz w:val="28"/>
          <w:szCs w:val="28"/>
        </w:rPr>
        <w:t>≤</w:t>
      </w:r>
      <w:r>
        <w:rPr>
          <w:rFonts w:ascii="Times New Roman CYR" w:hAnsi="Times New Roman CYR" w:cs="Times New Roman CYR"/>
          <w:kern w:val="0"/>
          <w:sz w:val="28"/>
          <w:szCs w:val="28"/>
        </w:rPr>
        <w:t>360</w:t>
      </w:r>
      <w:r>
        <w:rPr>
          <w:rFonts w:ascii="Times New Roman" w:hAnsi="Times New Roman" w:cs="Times New Roman"/>
          <w:kern w:val="0"/>
          <w:sz w:val="28"/>
          <w:szCs w:val="28"/>
        </w:rPr>
        <w:t>º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 Из-за того, что другие лиганды мешают такому вращению, конформации энергетически неравноценны. Если на зависимости энергии конформации от </w:t>
      </w:r>
      <w:r>
        <w:rPr>
          <w:rFonts w:ascii="Times New Roman" w:hAnsi="Times New Roman" w:cs="Times New Roman"/>
          <w:kern w:val="0"/>
          <w:sz w:val="28"/>
          <w:szCs w:val="28"/>
        </w:rPr>
        <w:t>φ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имеется более одного минимума, то совокупность конформаций в окрестности каждого из них рассматривается как конформационный изомер (конформер). Разделяющий конформеры энергетический барьер близок по смыслу к энергии активации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a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процесса изомеризации. Когда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a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мала, взаимопревращения изомеров идут с большой скоростью («почти свободное вращение»).</w:t>
      </w:r>
    </w:p>
    <w:p w14:paraId="69AFA20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Структурные, геометрические и другие изомеры так же взаимопревращаются с большой скоростью, если возможна изомеризация вращением. Так, геометрические изомеры октаэдрических комплексов типа.</w:t>
      </w:r>
    </w:p>
    <w:p w14:paraId="11E8DEB0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2DB3B31F" w14:textId="59D08357" w:rsidR="00000000" w:rsidRDefault="00FC732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728D407" wp14:editId="563F69F3">
            <wp:extent cx="2628900" cy="1021080"/>
            <wp:effectExtent l="0" t="0" r="0" b="0"/>
            <wp:docPr id="1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B740B" w14:textId="77777777" w:rsidR="00000000" w:rsidRDefault="00000000">
      <w:pPr>
        <w:keepNext/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</w:t>
      </w:r>
    </w:p>
    <w:p w14:paraId="20CFA44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8DE59A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Переходят друг в друга при повороте верхней плоскости вокруг вертикальной оси на 120</w:t>
      </w:r>
      <w:r>
        <w:rPr>
          <w:rFonts w:ascii="Times New Roman" w:hAnsi="Times New Roman" w:cs="Times New Roman"/>
          <w:kern w:val="0"/>
          <w:sz w:val="28"/>
          <w:szCs w:val="28"/>
        </w:rPr>
        <w:t>º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6521A93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Мостиковый цис-комплекс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Fe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5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5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изомеризуется посредством вращения немостикового промежуточного продукта:</w:t>
      </w:r>
    </w:p>
    <w:p w14:paraId="57667FF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24936A0" w14:textId="07EE6E97" w:rsidR="00000000" w:rsidRDefault="00FC732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45B01E9" wp14:editId="69FC1CEC">
            <wp:extent cx="4884420" cy="2072640"/>
            <wp:effectExtent l="0" t="0" r="0" b="0"/>
            <wp:docPr id="1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4420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15B90" w14:textId="77777777" w:rsidR="00000000" w:rsidRDefault="00000000">
      <w:pPr>
        <w:keepNext/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</w:t>
      </w:r>
    </w:p>
    <w:p w14:paraId="1DE2691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1E5B58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Наличие </w:t>
      </w:r>
      <w:r>
        <w:rPr>
          <w:rFonts w:ascii="Times New Roman" w:hAnsi="Times New Roman" w:cs="Times New Roman"/>
          <w:kern w:val="0"/>
          <w:sz w:val="28"/>
          <w:szCs w:val="28"/>
        </w:rPr>
        <w:t>π-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компонента в связи металл - лиганд (обычно это дативная связь) препятствует превращению лиганда. Так, при повороте алкена на некоторый угол вокруг оси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x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 резко уменьшается перекрывание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d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xz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-орбитали металла с </w:t>
      </w:r>
      <w:r>
        <w:rPr>
          <w:rFonts w:ascii="Times New Roman" w:hAnsi="Times New Roman" w:cs="Times New Roman"/>
          <w:kern w:val="0"/>
          <w:sz w:val="28"/>
          <w:szCs w:val="28"/>
        </w:rPr>
        <w:t>π*-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орбиталью лиганда и дативная связь становится невозможной. Более того: так как дативная и донорно-акцепторная связь взаимно усиливают друг друга, такой поворот снижает и прочность </w:t>
      </w:r>
      <w:r>
        <w:rPr>
          <w:rFonts w:ascii="Times New Roman" w:hAnsi="Times New Roman" w:cs="Times New Roman"/>
          <w:kern w:val="0"/>
          <w:sz w:val="28"/>
          <w:szCs w:val="28"/>
        </w:rPr>
        <w:t>σ-</w:t>
      </w:r>
      <w:r>
        <w:rPr>
          <w:rFonts w:ascii="Times New Roman CYR" w:hAnsi="Times New Roman CYR" w:cs="Times New Roman CYR"/>
          <w:kern w:val="0"/>
          <w:sz w:val="28"/>
          <w:szCs w:val="28"/>
        </w:rPr>
        <w:t>компоненты связи металл-лиганд.</w:t>
      </w:r>
    </w:p>
    <w:p w14:paraId="3470C0C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 xml:space="preserve">Тем не менее, барьеры для вращения алкенов вокруг связи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</w:t>
      </w:r>
      <w:r>
        <w:rPr>
          <w:rFonts w:ascii="Times New Roman CYR" w:hAnsi="Times New Roman CYR" w:cs="Times New Roman CYR"/>
          <w:kern w:val="0"/>
          <w:sz w:val="28"/>
          <w:szCs w:val="28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L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не настолько высоки, чтобы сделать вращение вообще невозможным (они составляют примерно 40-60 кДж/моль).</w:t>
      </w:r>
    </w:p>
    <w:p w14:paraId="64A12F0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Поворотные изомеры при наличии дативных связей имеют значительные времена жизни. Так, при помощи спектров ПМР охарактеризованы цис- и транс-бис </w:t>
      </w:r>
      <w:r>
        <w:rPr>
          <w:rFonts w:ascii="Times New Roman" w:hAnsi="Times New Roman" w:cs="Times New Roman"/>
          <w:kern w:val="0"/>
          <w:sz w:val="28"/>
          <w:szCs w:val="28"/>
        </w:rPr>
        <w:t>(π-</w:t>
      </w:r>
      <w:r>
        <w:rPr>
          <w:rFonts w:ascii="Times New Roman CYR" w:hAnsi="Times New Roman CYR" w:cs="Times New Roman CYR"/>
          <w:kern w:val="0"/>
          <w:sz w:val="28"/>
          <w:szCs w:val="28"/>
        </w:rPr>
        <w:t>аллил) никель.</w:t>
      </w:r>
    </w:p>
    <w:p w14:paraId="1695B5A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8666B30" w14:textId="6CAB75DA" w:rsidR="00000000" w:rsidRDefault="00FC732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2651AAA" wp14:editId="0B80F108">
            <wp:extent cx="3192780" cy="518160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8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AC7A9" w14:textId="77777777" w:rsidR="00000000" w:rsidRDefault="00000000">
      <w:pPr>
        <w:keepNext/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(правда, поворот аллильного лиганда сопровождается изменением наклона плоскостей)</w:t>
      </w:r>
    </w:p>
    <w:p w14:paraId="703A733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D62D02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Различные углы поворота вокруг ординарных связей фиксируется при замыкании циклов, т.е. при образовании хелатных комплексных соединений. Так, ион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]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3+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в бромидных растворах присутствует в виде двух изомеров: в одном все шестичленные цикля имеют конфигурацию кресла, а во втором - твист-конформацию. Первый изомер примерно на 2 кДж/моль более выгоден энергетически. Конформационные изомеры появляются так же у комплексного иона, содержащего несколько пятичленных несопряженных неплоских циклов. Например, в квадратных комплексах этилендиамина возможны конформации</w:t>
      </w:r>
    </w:p>
    <w:p w14:paraId="22D7896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1BE570F" w14:textId="3F4110D2" w:rsidR="00000000" w:rsidRDefault="00FC732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BBCCF7D" wp14:editId="00A7C519">
            <wp:extent cx="3703320" cy="899160"/>
            <wp:effectExtent l="0" t="0" r="0" b="0"/>
            <wp:docPr id="1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32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EA7D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</w:t>
      </w:r>
    </w:p>
    <w:p w14:paraId="391A220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A98132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Причем в конформации I над горизонтальной плоскостью в которой лежат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атомы азота, расположены атомы С1 и С3, а в конформации II - атомы С2 и С3.</w:t>
      </w:r>
    </w:p>
    <w:p w14:paraId="77228F62" w14:textId="6B2C05CD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Следует отметить, что использование полидентантных лигандов вместо монодентантных вообще вызывает дополнительные возможности для изомерии, например геометрической. При определении числа геометрических изомеров лиганды можно рассматривать бесструктурно-бидентантные симметричные лиганды в виде </w:t>
      </w:r>
      <w:r w:rsidR="00FC7329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570BF2F" wp14:editId="52DC5EC1">
            <wp:extent cx="601980" cy="236220"/>
            <wp:effectExtent l="0" t="0" r="0" b="0"/>
            <wp:docPr id="1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а несимметричные, например , 1,2-пропилен диамин, CH3-CH(NH2)-CH2NH2 - в виде </w:t>
      </w:r>
      <w:r w:rsidR="00FC7329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1634092" wp14:editId="481644B0">
            <wp:extent cx="601980" cy="236220"/>
            <wp:effectExtent l="0" t="0" r="0" b="0"/>
            <wp:docPr id="1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 Вернер выделил </w:t>
      </w:r>
      <w:r>
        <w:rPr>
          <w:rFonts w:ascii="Times New Roman" w:hAnsi="Times New Roman" w:cs="Times New Roman"/>
          <w:kern w:val="0"/>
          <w:sz w:val="28"/>
          <w:szCs w:val="28"/>
        </w:rPr>
        <w:t>α-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 </w:t>
      </w:r>
      <w:r>
        <w:rPr>
          <w:rFonts w:ascii="Times New Roman" w:hAnsi="Times New Roman" w:cs="Times New Roman"/>
          <w:kern w:val="0"/>
          <w:sz w:val="28"/>
          <w:szCs w:val="28"/>
        </w:rPr>
        <w:t>β-</w:t>
      </w:r>
      <w:r>
        <w:rPr>
          <w:rFonts w:ascii="Times New Roman CYR" w:hAnsi="Times New Roman CYR" w:cs="Times New Roman CYR"/>
          <w:kern w:val="0"/>
          <w:sz w:val="28"/>
          <w:szCs w:val="28"/>
        </w:rPr>
        <w:t>изомеры цис-[CoEn(NO2)2]+ со строением</w:t>
      </w:r>
    </w:p>
    <w:p w14:paraId="03E39DD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E2BD31E" w14:textId="2F7372ED" w:rsidR="00000000" w:rsidRDefault="00FC732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7B0FA5B" wp14:editId="1722DC8B">
            <wp:extent cx="4366260" cy="2171700"/>
            <wp:effectExtent l="0" t="0" r="0" b="0"/>
            <wp:docPr id="2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26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F09B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</w:t>
      </w:r>
    </w:p>
    <w:p w14:paraId="2D34162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241E4B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Или в упрощенном виде:</w:t>
      </w:r>
    </w:p>
    <w:p w14:paraId="74F0A44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EDA7F5F" w14:textId="12C5C8C5" w:rsidR="00000000" w:rsidRDefault="00FC732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B813C51" wp14:editId="69202F5C">
            <wp:extent cx="3619500" cy="1211580"/>
            <wp:effectExtent l="0" t="0" r="0" b="0"/>
            <wp:docPr id="2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5420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</w:t>
      </w:r>
    </w:p>
    <w:p w14:paraId="74D3745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F2401D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За счет возникновения ассиментрии донорного атома при координации могут появиться энантиомеры у квадратных комплексов, например, у комплекса.</w:t>
      </w:r>
    </w:p>
    <w:p w14:paraId="536801F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 ассиметричным атомом азота.</w:t>
      </w:r>
    </w:p>
    <w:p w14:paraId="581FCDEC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572BC03B" w14:textId="54F145DA" w:rsidR="00000000" w:rsidRDefault="00FC732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7F3BF4D" wp14:editId="2D529A2C">
            <wp:extent cx="1744980" cy="1257300"/>
            <wp:effectExtent l="0" t="0" r="0" b="0"/>
            <wp:docPr id="2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A8E0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</w:t>
      </w:r>
    </w:p>
    <w:p w14:paraId="2CA82A7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A7100D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4.Оптическая изомерия</w:t>
      </w:r>
    </w:p>
    <w:p w14:paraId="6C3A6FD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8E1008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Оптическая изомерии связана со способностью некоторых веществ вращать плоскость поляризации света. Эта способность получила название оптической активности.</w:t>
      </w:r>
    </w:p>
    <w:p w14:paraId="0ADE96F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Впервые оптическая активность была открыта Араго в 1811 г на примере пластинок, вырезанных из кристаллического кварца. Далее было обнаружено, что есть вещества, у которых вращательная способность не связана с кристаллическим состоянием - они сохраняют эту способность также в растворенном состоянии.</w:t>
      </w:r>
    </w:p>
    <w:p w14:paraId="1852134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Очевидно, вращательная способность этих веществ связана со строением их молекул.</w:t>
      </w:r>
    </w:p>
    <w:p w14:paraId="1FB9DE8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Пастер высказал мысль, что основным условием возникновения оптической активности вещества является асимметрия строения его молекулы, т.е. отсутствие плоскости симметрии. В 1848 г Пастер открыл явление оптической изомерии, получив кристаллы винной кислоты, которые вращают плоскость поляризованного света в разных направлениях (правовращающая и левовращающая формы).</w:t>
      </w:r>
    </w:p>
    <w:p w14:paraId="389A140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Формы этих кристаллов относились друг к другу как предмет к его зеркальному изображению.</w:t>
      </w:r>
    </w:p>
    <w:p w14:paraId="09FEC1C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Если атом углерода, находящийся в центре тетраэдра, связан с четырьмя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различными атомами или радикалами, то при одном и том же составе возможны два варианта пространственного расположения, относящиеся друг к ругу как предмет к его зеркальному изображению. На этом основана оптическая изомерия органических соединений.</w:t>
      </w:r>
    </w:p>
    <w:p w14:paraId="0D5CF7D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Идея Вернера заключалась в приложении принципа Пастера к комплексным соединениям, имеющим октаэдрическое строение. Мы знаем, что комплексное соединение [Coen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Cl]Cl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может существовать в виде двух геометрических изомеров.</w:t>
      </w:r>
    </w:p>
    <w:p w14:paraId="429BBE7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BE64473" w14:textId="2E0BD691" w:rsidR="00000000" w:rsidRDefault="00FC732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CFEB893" wp14:editId="604ABB99">
            <wp:extent cx="2567940" cy="1165860"/>
            <wp:effectExtent l="0" t="0" r="0" b="0"/>
            <wp:docPr id="2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4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CE79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</w:t>
      </w:r>
    </w:p>
    <w:p w14:paraId="64AD506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7F2D42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ионе транс-[Coen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Cl]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2+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есть плоскость симметрии, поэтому для транс-изомера оптическая изомерия невозможна.</w:t>
      </w:r>
    </w:p>
    <w:p w14:paraId="69C1368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ионе цис-строения плоскость симметрии отсутствует, поэтому можно было ожидать возможности получения двух оптических изомеров.</w:t>
      </w:r>
    </w:p>
    <w:p w14:paraId="3456B86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DEC566C" w14:textId="219A7782" w:rsidR="00000000" w:rsidRDefault="00FC732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2FBC3CF" wp14:editId="7510D3CE">
            <wp:extent cx="2506980" cy="1165860"/>
            <wp:effectExtent l="0" t="0" r="0" b="0"/>
            <wp:docPr id="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98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C70B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</w:t>
      </w:r>
    </w:p>
    <w:p w14:paraId="4E3DADB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F3F3CF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 1911 г Вернер получил два указанных оптических изомера. Тем самым, с одной стороны, было дано блестящее доказательство правильности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координационной теории, а с другой стороны, появился метод, позволяющий точно отличать соединения цис-конфигурацииот соединений транс-конфигурации.</w:t>
      </w:r>
    </w:p>
    <w:p w14:paraId="2811F17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Октаэдрическая модель позволяла теоретически предвидеть, какие комплексы должны обладать оптической активностью. В дальнейшем Вернеру и другим ученым удалось получить оптические изомеры многочисленных одноядерных, а также многоядерных комплексов.</w:t>
      </w:r>
    </w:p>
    <w:p w14:paraId="5369757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Что касается координационных соединений с координационным числом четыре, то здесь возможности появления оптической изомерии весьма ограничены.</w:t>
      </w:r>
    </w:p>
    <w:p w14:paraId="0FCC2D2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случае тетраэдрических комплексов оптическая изомериитеоретически возможна только в тех случаях, когда все четырелиганда, связанные с центральным атомом, различны. Для плоскоквадратных комплексов не может быть оптических изомеров даже при четырех различных лигандах.</w:t>
      </w:r>
    </w:p>
    <w:p w14:paraId="26ECD94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то же время комплексы с координационным числом 4 могут обладать оптической активностью в тех случаях, когда они содержат оптически активные лиганды.</w:t>
      </w:r>
    </w:p>
    <w:p w14:paraId="6757734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0EE040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5.Другие виды изомерии</w:t>
      </w:r>
    </w:p>
    <w:p w14:paraId="661DFC0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7597C5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Валентная изомерия:</w:t>
      </w:r>
    </w:p>
    <w:p w14:paraId="2F0313F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Валентная изомерия обусловлена тем, что разные радикалы в изомерных соединениях связаны различными валентностями. В одном соединении определенные радикалы связаны с каким-нибудь атомом силами побочной валентности, а в другом - силами главной валентности. В качестве примера этого рода изомерии приводились родо- и эритросоли хрома. Как родо-, так и эритросоли представляют собой многоядерные комплексы. Родохлорид эмпирического состава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Cr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10</w:t>
      </w:r>
      <w:r>
        <w:rPr>
          <w:rFonts w:ascii="Times New Roman CYR" w:hAnsi="Times New Roman CYR" w:cs="Times New Roman CYR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OH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получается при окислении раствора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lastRenderedPageBreak/>
        <w:t>CrCl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 к которому добавлено значительное количество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Cl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 Родохлорид представляет собой светло-красное кристаллическое вещество. При действии щелочи или водного аммиака родохлорид переходит в раствор, приобретающий индигово-синюю окраску. Из этого раствора можно выделить индигово-синие кристаллы так называемого основного родхлорида эмпирического состава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Cr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</w:rPr>
        <w:t>3)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10</w:t>
      </w:r>
      <w:r>
        <w:rPr>
          <w:rFonts w:ascii="Times New Roman CYR" w:hAnsi="Times New Roman CYR" w:cs="Times New Roman CYR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OH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>. Растворы нормальных родосолей показывают нейтральную реакцию, в то время как растворы основных солей, окрашенные в синий цвет, дают резко щелочную реакцию. Растворы основных родосолей, окрашенные в синий цвет, при стоянии приобретают карминово-красную окраску, и из них добавлением спитра можно выделить основные эритросоли, имеющие тот же эмпирический состав, что и основные родосоли. Добавлением концентрированных кислот к растворам основных эритросолей последние могут быть превращены в нармальные эритросоли, изомерные нормальным родосолям.</w:t>
      </w:r>
    </w:p>
    <w:p w14:paraId="242254E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Связевая изомерия:</w:t>
      </w:r>
    </w:p>
    <w:p w14:paraId="541F2DA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Этот вид изомерии возможен для координационных соединений в состав которых входят амбидентантные лиганды.</w:t>
      </w:r>
    </w:p>
    <w:p w14:paraId="4B2656E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Амбидентантными называются монодентантные лиганды содержащие два разных атома, с помощью которых сожжет осуществляться связь с центральным атомом.</w:t>
      </w:r>
    </w:p>
    <w:p w14:paraId="18E188F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Первые случай такой изомерии был обнаружен Иергенееом в процессе синтеза нитрокомплексов кобальта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5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]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X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путем взаимодействия нитрита натрия с аквакомплексами {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5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</w:rPr>
        <w:t>]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X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он получил два разных соединения, различающихся окраской и отношением к разбавленным кислотам. В одном соединении связь нитрогруппы с центральным атомом кобальта осуществляется через азот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5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]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X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, а в другом - через кислород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5</w:t>
      </w:r>
      <w:r>
        <w:rPr>
          <w:rFonts w:ascii="Times New Roman CYR" w:hAnsi="Times New Roman CYR" w:cs="Times New Roman CYR"/>
          <w:kern w:val="0"/>
          <w:sz w:val="28"/>
          <w:szCs w:val="28"/>
        </w:rPr>
        <w:t>(О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NO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]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X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. Соединения первого типа называются нитрокомплексами, а второго - нитритокомплексами.</w:t>
      </w:r>
    </w:p>
    <w:p w14:paraId="1F50D89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Изомерия комплексных соединений, содержащих в своем составе несколько координационных сфер.</w:t>
      </w:r>
    </w:p>
    <w:p w14:paraId="7B9185F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Наличие в многоядерных соединений нескольких координационных сфер проявляется не только в увеличении количества изомеров, но и приводит к созданию специфических условий, когда проявляются новые, не наблюдающиеся для одноядерных соединений, типы изомерии. К ним относится, например, изомерия положения.</w:t>
      </w:r>
    </w:p>
    <w:p w14:paraId="18CD83F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Кроме таких изомеров, в это разделе рассматриваются вещества, в состав которых входит несколько одноядерных комплексных ионов (поликоординационные соединения). Присутствие в комплексе нескольких координационных сфер также действует в направлении появления новых типов изомерии (например, координационной полимерии и др).</w:t>
      </w:r>
    </w:p>
    <w:p w14:paraId="1F4D555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Координационная изомерия</w:t>
      </w:r>
    </w:p>
    <w:p w14:paraId="74D052B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Координационная изомерия характерна для веществ, содержащих в своем составе несколько комплексов ионов, и заключается в различном распределении адденов в составе внутренних координационных сфер этих ионов.</w:t>
      </w:r>
    </w:p>
    <w:p w14:paraId="7702C57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Координационные изомеры отличаются методами получения. Например, два координационных изомера состава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CoCr</w:t>
      </w:r>
      <w:r>
        <w:rPr>
          <w:rFonts w:ascii="Times New Roman CYR" w:hAnsi="Times New Roman CYR" w:cs="Times New Roman CYR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6</w:t>
      </w:r>
      <w:r>
        <w:rPr>
          <w:rFonts w:ascii="Times New Roman CYR" w:hAnsi="Times New Roman CYR" w:cs="Times New Roman CYR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CN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6</w:t>
      </w:r>
      <w:r>
        <w:rPr>
          <w:rFonts w:ascii="Times New Roman CYR" w:hAnsi="Times New Roman CYR" w:cs="Times New Roman CYR"/>
          <w:kern w:val="0"/>
          <w:sz w:val="28"/>
          <w:szCs w:val="28"/>
        </w:rPr>
        <w:t>) получаются следующими способами:</w:t>
      </w:r>
    </w:p>
    <w:p w14:paraId="405F72D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При взаимодействии раствора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6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cK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Cr</w:t>
      </w:r>
      <w:r>
        <w:rPr>
          <w:rFonts w:ascii="Times New Roman CYR" w:hAnsi="Times New Roman CYR" w:cs="Times New Roman CYR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CN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6</w:t>
      </w:r>
      <w:r>
        <w:rPr>
          <w:rFonts w:ascii="Times New Roman CYR" w:hAnsi="Times New Roman CYR" w:cs="Times New Roman CYR"/>
          <w:kern w:val="0"/>
          <w:sz w:val="28"/>
          <w:szCs w:val="28"/>
        </w:rPr>
        <w:t>)] образуется гексааминокольбато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III</w:t>
      </w:r>
      <w:r>
        <w:rPr>
          <w:rFonts w:ascii="Times New Roman CYR" w:hAnsi="Times New Roman CYR" w:cs="Times New Roman CYR"/>
          <w:kern w:val="0"/>
          <w:sz w:val="28"/>
          <w:szCs w:val="28"/>
        </w:rPr>
        <w:t>) -гексацианохрома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III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</w:p>
    <w:p w14:paraId="28C4F2D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6A4714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[Co(NH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6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]Cl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+ K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[Cr(CN)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6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] = 3KCl + [Co(NH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6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][Cr(CN)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6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]</w:t>
      </w:r>
    </w:p>
    <w:p w14:paraId="0D9993F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7CE644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 xml:space="preserve">В результате реакции между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K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CN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6</w:t>
      </w:r>
      <w:r>
        <w:rPr>
          <w:rFonts w:ascii="Times New Roman CYR" w:hAnsi="Times New Roman CYR" w:cs="Times New Roman CYR"/>
          <w:kern w:val="0"/>
          <w:sz w:val="28"/>
          <w:szCs w:val="28"/>
        </w:rPr>
        <w:t>] и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Cr</w:t>
      </w:r>
      <w:r>
        <w:rPr>
          <w:rFonts w:ascii="Times New Roman CYR" w:hAnsi="Times New Roman CYR" w:cs="Times New Roman CYR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6</w:t>
      </w:r>
      <w:r>
        <w:rPr>
          <w:rFonts w:ascii="Times New Roman CYR" w:hAnsi="Times New Roman CYR" w:cs="Times New Roman CYR"/>
          <w:kern w:val="0"/>
          <w:sz w:val="28"/>
          <w:szCs w:val="28"/>
        </w:rPr>
        <w:t>]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получается второй изомер:</w:t>
      </w:r>
    </w:p>
    <w:p w14:paraId="23E9500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8AF254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K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[Co(CN)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6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] + [Cr(NH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6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]Cl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= 3KCl + [Co(CN)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6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][Cr(NH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6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]</w:t>
      </w:r>
    </w:p>
    <w:p w14:paraId="0235283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C54E4F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Оба вещества отличаются характером взаимодействия с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AgNO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 Первое из них при этом дает труднорастворимый осабок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Ag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Cr</w:t>
      </w:r>
      <w:r>
        <w:rPr>
          <w:rFonts w:ascii="Times New Roman CYR" w:hAnsi="Times New Roman CYR" w:cs="Times New Roman CYR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CN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6</w:t>
      </w:r>
      <w:r>
        <w:rPr>
          <w:rFonts w:ascii="Times New Roman CYR" w:hAnsi="Times New Roman CYR" w:cs="Times New Roman CYR"/>
          <w:kern w:val="0"/>
          <w:sz w:val="28"/>
          <w:szCs w:val="28"/>
        </w:rPr>
        <w:t>] и в растворе остается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6</w:t>
      </w:r>
      <w:r>
        <w:rPr>
          <w:rFonts w:ascii="Times New Roman CYR" w:hAnsi="Times New Roman CYR" w:cs="Times New Roman CYR"/>
          <w:kern w:val="0"/>
          <w:sz w:val="28"/>
          <w:szCs w:val="28"/>
        </w:rPr>
        <w:t>](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 второе - осадок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Ag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CN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6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 в растворе 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Cr</w:t>
      </w:r>
      <w:r>
        <w:rPr>
          <w:rFonts w:ascii="Times New Roman CYR" w:hAnsi="Times New Roman CYR" w:cs="Times New Roman CYR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6</w:t>
      </w:r>
      <w:r>
        <w:rPr>
          <w:rFonts w:ascii="Times New Roman CYR" w:hAnsi="Times New Roman CYR" w:cs="Times New Roman CYR"/>
          <w:kern w:val="0"/>
          <w:sz w:val="28"/>
          <w:szCs w:val="28"/>
        </w:rPr>
        <w:t>](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, другими примерами этого типа могут служить вещества:</w:t>
      </w:r>
    </w:p>
    <w:p w14:paraId="6FE13598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br w:type="page"/>
      </w:r>
    </w:p>
    <w:p w14:paraId="2DD1F2D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[Cu(NH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][PtCl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] </w:t>
      </w:r>
      <w:r>
        <w:rPr>
          <w:rFonts w:ascii="Times New Roman CYR" w:hAnsi="Times New Roman CYR" w:cs="Times New Roman CYR"/>
          <w:kern w:val="0"/>
          <w:sz w:val="28"/>
          <w:szCs w:val="28"/>
        </w:rPr>
        <w:t>и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[CuCl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][Pt(NH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]</w:t>
      </w:r>
    </w:p>
    <w:p w14:paraId="6A5E0E3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554A50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Известны случаи, когда оба центральных иона оказываются ионами одного и того же элемента. Например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, </w:t>
      </w:r>
    </w:p>
    <w:p w14:paraId="0B4BF53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C0AA8C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[Co(NH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6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][Co(NO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6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] </w:t>
      </w:r>
      <w:r>
        <w:rPr>
          <w:rFonts w:ascii="Times New Roman CYR" w:hAnsi="Times New Roman CYR" w:cs="Times New Roman CYR"/>
          <w:kern w:val="0"/>
          <w:sz w:val="28"/>
          <w:szCs w:val="28"/>
        </w:rPr>
        <w:t>и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[Co(NH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(NO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][Co(NH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(NO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4</w:t>
      </w:r>
    </w:p>
    <w:p w14:paraId="3FFAA34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</w:pPr>
    </w:p>
    <w:p w14:paraId="0D57B14B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7839486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Заключение</w:t>
      </w:r>
    </w:p>
    <w:p w14:paraId="489CC16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F4F4F4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F4F4F4"/>
          <w:kern w:val="0"/>
          <w:sz w:val="28"/>
          <w:szCs w:val="28"/>
        </w:rPr>
        <w:t>химический вещество геометрический изомерия</w:t>
      </w:r>
    </w:p>
    <w:p w14:paraId="40B3BE9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данной курсовой работе были рассмотрены основные типы изомерии, можно сделать вывод о том, что строение соединения влияет на некоторые свойства вещества, изомеры с одинаковым химическим составом могут иметь разный цвет, гранулометрический состав, оптическую активность.</w:t>
      </w:r>
    </w:p>
    <w:p w14:paraId="4AA2A51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Изомерия может быть связанна с распределением анионов во внешней и внутренней сфере, со способностью вращать плоскость поляризованного света, расположением лигандов, относительно центрального атома, а так же расположением лигандов во внутренней координационной сфере.</w:t>
      </w:r>
    </w:p>
    <w:p w14:paraId="5CA3D96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Стехиометрия дает возможность предсказать свойства комплексных соединений, число и строение изомеров для всех случаев, когда состав комплекса известен. Установлено, что природа лигандов не влияет на структуру, а координационное число. В связи с исследованием изомерии актуальными становятся вопросы о получении изомеров нужного строения, определении триан- или цис-изомера.</w:t>
      </w:r>
    </w:p>
    <w:p w14:paraId="14D7A51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2FE58CC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Литература</w:t>
      </w:r>
    </w:p>
    <w:p w14:paraId="14562F7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968CB0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Берсукер И.Б. Строение и свойства координационных соединений. Л.: Химия. 1971 - 312 с.</w:t>
      </w:r>
    </w:p>
    <w:p w14:paraId="544134E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Босоло Ф., Джонсон Р. Химия координационных соединений. М.: Мир. 1971 - 196 с.</w:t>
      </w:r>
    </w:p>
    <w:p w14:paraId="6497D46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Гликина Ф.Б., Ключников Н.Г. Химия комплексных соединений. М.:П Просвещение. 1972 - 169с.</w:t>
      </w:r>
    </w:p>
    <w:p w14:paraId="2FBBE2E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Гринберг А.А. Введение в химию комплексных соединений. М.: Мир. 1966 - 631 с.</w:t>
      </w:r>
    </w:p>
    <w:p w14:paraId="55FDC62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Грей Г. Электроны и химическая связь. М. : Мир. 1967 - 234 с.</w:t>
      </w:r>
    </w:p>
    <w:p w14:paraId="03A7FCD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Желиговская Н.Н., Черняев Н.И. Химия комплексных содинений. М.: Высшая школа, 1966 - 150 с.</w:t>
      </w:r>
    </w:p>
    <w:p w14:paraId="5E9BBE2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Макашев Ю.А., Зметкина В.М. Соединения в квадратных скобках. Л.: Химия. 1976 - 214 с.</w:t>
      </w:r>
    </w:p>
    <w:p w14:paraId="17DB26F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Полинг П. Общая Химия, М.: Мир, 1974 - 847 с.</w:t>
      </w:r>
    </w:p>
    <w:p w14:paraId="4D7316D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Скорик Н.А., Кумок В.Н. Химия координационных соединений. М: Высшая школа, 1963 - 207 с.</w:t>
      </w:r>
    </w:p>
    <w:p w14:paraId="5341188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Современная химия координационных соединений/ под рук. Льюса Д., Уилкина Р.М.: ил, 1963 - 296с.</w:t>
      </w:r>
    </w:p>
    <w:p w14:paraId="03565FF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Химия координационных соединений. / под рук. Бейлара Дж., Буше Д. М.:ил, 1960 - 490 с.</w:t>
      </w:r>
    </w:p>
    <w:p w14:paraId="23AB47D1" w14:textId="77777777" w:rsidR="0042207E" w:rsidRDefault="00000000">
      <w:pPr>
        <w:widowControl w:val="0"/>
        <w:autoSpaceDE w:val="0"/>
        <w:autoSpaceDN w:val="0"/>
        <w:adjustRightInd w:val="0"/>
        <w:spacing w:after="200" w:line="276" w:lineRule="auto"/>
        <w:ind w:left="1068" w:hanging="360"/>
        <w:jc w:val="center"/>
      </w:pPr>
      <w:r>
        <w:rPr>
          <w:rFonts w:ascii="Times New Roman CYR" w:hAnsi="Times New Roman CYR" w:cs="Times New Roman CYR"/>
          <w:b/>
          <w:bCs/>
          <w:color w:val="F4F4F4"/>
          <w:kern w:val="0"/>
          <w:sz w:val="28"/>
          <w:szCs w:val="28"/>
        </w:rPr>
        <w:t>12.</w:t>
      </w:r>
      <w:r>
        <w:rPr>
          <w:rFonts w:ascii="Times New Roman CYR" w:hAnsi="Times New Roman CYR" w:cs="Times New Roman CYR"/>
          <w:b/>
          <w:bCs/>
          <w:color w:val="F4F4F4"/>
          <w:kern w:val="0"/>
          <w:sz w:val="28"/>
          <w:szCs w:val="28"/>
        </w:rPr>
        <w:tab/>
      </w:r>
    </w:p>
    <w:sectPr w:rsidR="0042207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329"/>
    <w:rsid w:val="0042207E"/>
    <w:rsid w:val="00C463EF"/>
    <w:rsid w:val="00FC7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2793A5"/>
  <w14:defaultImageDpi w14:val="0"/>
  <w15:docId w15:val="{4B50E7E6-9DC2-40B9-9F92-EFC255AE8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26" Type="http://schemas.openxmlformats.org/officeDocument/2006/relationships/image" Target="media/image23.wmf"/><Relationship Id="rId3" Type="http://schemas.openxmlformats.org/officeDocument/2006/relationships/webSettings" Target="webSettings.xml"/><Relationship Id="rId21" Type="http://schemas.openxmlformats.org/officeDocument/2006/relationships/image" Target="media/image18.wmf"/><Relationship Id="rId7" Type="http://schemas.openxmlformats.org/officeDocument/2006/relationships/image" Target="media/image4.wmf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5" Type="http://schemas.openxmlformats.org/officeDocument/2006/relationships/image" Target="media/image22.wmf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20" Type="http://schemas.openxmlformats.org/officeDocument/2006/relationships/image" Target="media/image17.wmf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24" Type="http://schemas.openxmlformats.org/officeDocument/2006/relationships/image" Target="media/image21.wmf"/><Relationship Id="rId5" Type="http://schemas.openxmlformats.org/officeDocument/2006/relationships/image" Target="media/image2.wmf"/><Relationship Id="rId15" Type="http://schemas.openxmlformats.org/officeDocument/2006/relationships/image" Target="media/image12.wmf"/><Relationship Id="rId23" Type="http://schemas.openxmlformats.org/officeDocument/2006/relationships/image" Target="media/image20.wmf"/><Relationship Id="rId28" Type="http://schemas.openxmlformats.org/officeDocument/2006/relationships/fontTable" Target="fontTable.xml"/><Relationship Id="rId10" Type="http://schemas.openxmlformats.org/officeDocument/2006/relationships/image" Target="media/image7.wmf"/><Relationship Id="rId19" Type="http://schemas.openxmlformats.org/officeDocument/2006/relationships/image" Target="media/image16.w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image" Target="media/image11.wmf"/><Relationship Id="rId22" Type="http://schemas.openxmlformats.org/officeDocument/2006/relationships/image" Target="media/image19.wmf"/><Relationship Id="rId27" Type="http://schemas.openxmlformats.org/officeDocument/2006/relationships/image" Target="media/image2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2952</Words>
  <Characters>16828</Characters>
  <Application>Microsoft Office Word</Application>
  <DocSecurity>0</DocSecurity>
  <Lines>140</Lines>
  <Paragraphs>39</Paragraphs>
  <ScaleCrop>false</ScaleCrop>
  <Company/>
  <LinksUpToDate>false</LinksUpToDate>
  <CharactersWithSpaces>19741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2026-02-08T18:46:00Z</dcterms:created>
  <dcterms:modified xsi:type="dcterms:W3CDTF">2026-02-08T18:46:00Z</dcterms:modified>
</cp:coreProperties>
</file>