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91F2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Золь-гель технология (гелевая технология) (англ. </w:t>
      </w:r>
      <w:r w:rsidRPr="00271A4B">
        <w:rPr>
          <w:rFonts w:ascii="Times New Roman" w:hAnsi="Times New Roman"/>
          <w:sz w:val="28"/>
          <w:szCs w:val="28"/>
          <w:lang w:val="en-US"/>
        </w:rPr>
        <w:t>The</w:t>
      </w:r>
      <w:r w:rsidRPr="00271A4B">
        <w:rPr>
          <w:rFonts w:ascii="Times New Roman" w:hAnsi="Times New Roman"/>
          <w:sz w:val="28"/>
          <w:szCs w:val="28"/>
        </w:rPr>
        <w:t xml:space="preserve"> </w:t>
      </w:r>
      <w:r w:rsidRPr="00271A4B">
        <w:rPr>
          <w:rFonts w:ascii="Times New Roman" w:hAnsi="Times New Roman"/>
          <w:sz w:val="28"/>
          <w:szCs w:val="28"/>
          <w:lang w:val="en-US"/>
        </w:rPr>
        <w:t>sol</w:t>
      </w:r>
      <w:r w:rsidRPr="00271A4B">
        <w:rPr>
          <w:rFonts w:ascii="Times New Roman" w:hAnsi="Times New Roman"/>
          <w:sz w:val="28"/>
          <w:szCs w:val="28"/>
        </w:rPr>
        <w:t>-</w:t>
      </w:r>
      <w:r w:rsidRPr="00271A4B">
        <w:rPr>
          <w:rFonts w:ascii="Times New Roman" w:hAnsi="Times New Roman"/>
          <w:sz w:val="28"/>
          <w:szCs w:val="28"/>
          <w:lang w:val="en-US"/>
        </w:rPr>
        <w:t>gel</w:t>
      </w:r>
      <w:r w:rsidRPr="00271A4B">
        <w:rPr>
          <w:rFonts w:ascii="Times New Roman" w:hAnsi="Times New Roman"/>
          <w:sz w:val="28"/>
          <w:szCs w:val="28"/>
        </w:rPr>
        <w:t xml:space="preserve"> </w:t>
      </w:r>
      <w:r w:rsidRPr="00271A4B">
        <w:rPr>
          <w:rFonts w:ascii="Times New Roman" w:hAnsi="Times New Roman"/>
          <w:sz w:val="28"/>
          <w:szCs w:val="28"/>
          <w:lang w:val="en-US"/>
        </w:rPr>
        <w:t>process</w:t>
      </w:r>
      <w:r w:rsidRPr="00271A4B">
        <w:rPr>
          <w:rFonts w:ascii="Times New Roman" w:hAnsi="Times New Roman"/>
          <w:sz w:val="28"/>
          <w:szCs w:val="28"/>
        </w:rPr>
        <w:t xml:space="preserve">) - технология получения материалов с определенными химическими и физико-механическими свойствами, включающая получение золя и перевод его в гель. Золь-гель технологии используются при производстве неорганических сорбентов, катализаторов и носителей катализаторов, синтетических цеолитов, вяжущих неорганических веществ, керамики со специальными теплофизическими, оптическими, магнитными и электрическими свойствами, стекла, стеклокерамики, волокон, и др. </w:t>
      </w:r>
    </w:p>
    <w:p w14:paraId="7890ABA8" w14:textId="77777777" w:rsidR="005056BB" w:rsidRPr="00271A4B" w:rsidRDefault="00997F80" w:rsidP="00976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Переход золей в гели лежит в основе многих современных технологий, связанных с производством волокнистых материалов, световодов, стекол, покрытий, керамических мембран, пленок, инфляционных материалов, катализаторов и адсорбентов, цеолитов, термо и звукоизоляционных и пористых материалов, керамики, композиционных и лакокрасочных материалов, буровых растворов и реагентов и т.д. </w:t>
      </w:r>
    </w:p>
    <w:p w14:paraId="61163575" w14:textId="77777777" w:rsidR="005056BB" w:rsidRPr="00271A4B" w:rsidRDefault="00997F80" w:rsidP="009767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Золь-гель процессы лежат в основе гидротермальной обработки кремнеземсодержащих сырья и перспективны для развития технологий стекольной промышленности. Гели кремнезема можно получать из водных растворов кремниевых кислот (золь </w:t>
      </w:r>
      <w:r w:rsidRPr="00271A4B">
        <w:rPr>
          <w:rFonts w:ascii="Times New Roman" w:hAnsi="Times New Roman"/>
          <w:sz w:val="28"/>
          <w:szCs w:val="28"/>
          <w:lang w:val="en-US"/>
        </w:rPr>
        <w:t>in</w:t>
      </w:r>
      <w:r w:rsidRPr="00271A4B">
        <w:rPr>
          <w:rFonts w:ascii="Times New Roman" w:hAnsi="Times New Roman"/>
          <w:sz w:val="28"/>
          <w:szCs w:val="28"/>
        </w:rPr>
        <w:t xml:space="preserve"> </w:t>
      </w:r>
      <w:r w:rsidRPr="00271A4B">
        <w:rPr>
          <w:rFonts w:ascii="Times New Roman" w:hAnsi="Times New Roman"/>
          <w:sz w:val="28"/>
          <w:szCs w:val="28"/>
          <w:lang w:val="en-US"/>
        </w:rPr>
        <w:t>situ</w:t>
      </w:r>
      <w:r w:rsidRPr="00271A4B">
        <w:rPr>
          <w:rFonts w:ascii="Times New Roman" w:hAnsi="Times New Roman"/>
          <w:sz w:val="28"/>
          <w:szCs w:val="28"/>
        </w:rPr>
        <w:t>) или на основе золей с предварительно выращенными частицами, имеющими достаточно плотную структуру твердой фазы (низкая концентрация силанольных групп). Золь-гель технология позволяет получать как монолитные материалы (например, стекла), так и высокодисперсные порошки, обладающие пористой структурой. В качестве исходных материалов могут быть использованы различные соединения кремния.</w:t>
      </w:r>
    </w:p>
    <w:p w14:paraId="2C0DA9CA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i/>
          <w:iCs/>
          <w:sz w:val="28"/>
          <w:szCs w:val="28"/>
          <w:u w:val="single"/>
        </w:rPr>
        <w:t>Процесс получения материалов и композиций на основе золей состоит из нескольких стадий, основными из которых являются следующие.</w:t>
      </w:r>
    </w:p>
    <w:p w14:paraId="23376D85" w14:textId="77777777" w:rsidR="005056BB" w:rsidRPr="00271A4B" w:rsidRDefault="00997F80" w:rsidP="00271A4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1. </w:t>
      </w:r>
      <w:r w:rsidRPr="00271A4B">
        <w:rPr>
          <w:rFonts w:ascii="Times New Roman" w:hAnsi="Times New Roman"/>
          <w:sz w:val="28"/>
          <w:szCs w:val="28"/>
        </w:rPr>
        <w:t>Гидролиз мономерных соединений кремния. Растворы мономера могут быть получены гидролизом галогенидов</w:t>
      </w:r>
      <w:r w:rsidR="00271A4B">
        <w:rPr>
          <w:rFonts w:ascii="Times New Roman" w:hAnsi="Times New Roman"/>
          <w:sz w:val="28"/>
          <w:szCs w:val="28"/>
        </w:rPr>
        <w:t>,</w:t>
      </w:r>
      <w:r w:rsidRPr="00271A4B">
        <w:rPr>
          <w:rFonts w:ascii="Times New Roman" w:hAnsi="Times New Roman"/>
          <w:sz w:val="28"/>
          <w:szCs w:val="28"/>
        </w:rPr>
        <w:t xml:space="preserve"> сложных эфиров кремниевых кислот или неорганических солей — силикатов щелочных металлов. Наиболее часто используют жидкие ал кил производные </w:t>
      </w:r>
      <w:r w:rsidRPr="00271A4B">
        <w:rPr>
          <w:rFonts w:ascii="Times New Roman" w:hAnsi="Times New Roman"/>
          <w:sz w:val="28"/>
          <w:szCs w:val="28"/>
        </w:rPr>
        <w:lastRenderedPageBreak/>
        <w:t xml:space="preserve">кремниевых кислот, такие как </w:t>
      </w:r>
      <w:r w:rsidRPr="00271A4B">
        <w:rPr>
          <w:rFonts w:ascii="Times New Roman" w:hAnsi="Times New Roman"/>
          <w:sz w:val="28"/>
          <w:szCs w:val="28"/>
          <w:lang w:val="en-US"/>
        </w:rPr>
        <w:t>Si</w:t>
      </w:r>
      <w:r w:rsidRPr="00271A4B">
        <w:rPr>
          <w:rFonts w:ascii="Times New Roman" w:hAnsi="Times New Roman"/>
          <w:sz w:val="28"/>
          <w:szCs w:val="28"/>
        </w:rPr>
        <w:t>(</w:t>
      </w:r>
      <w:r w:rsidRPr="00271A4B">
        <w:rPr>
          <w:rFonts w:ascii="Times New Roman" w:hAnsi="Times New Roman"/>
          <w:sz w:val="28"/>
          <w:szCs w:val="28"/>
          <w:lang w:val="en-US"/>
        </w:rPr>
        <w:t>OR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>4</w:t>
      </w:r>
      <w:r w:rsidRPr="00271A4B">
        <w:rPr>
          <w:rFonts w:ascii="Times New Roman" w:hAnsi="Times New Roman"/>
          <w:sz w:val="28"/>
          <w:szCs w:val="28"/>
        </w:rPr>
        <w:t xml:space="preserve">, где </w:t>
      </w:r>
      <w:r w:rsidRPr="00271A4B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R</w:t>
      </w: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 — </w:t>
      </w:r>
      <w:r w:rsidRPr="00271A4B">
        <w:rPr>
          <w:rFonts w:ascii="Times New Roman" w:hAnsi="Times New Roman"/>
          <w:sz w:val="28"/>
          <w:szCs w:val="28"/>
        </w:rPr>
        <w:t>группы — СН</w:t>
      </w:r>
      <w:r w:rsidRPr="00271A4B">
        <w:rPr>
          <w:rFonts w:ascii="Times New Roman" w:hAnsi="Times New Roman"/>
          <w:sz w:val="28"/>
          <w:szCs w:val="28"/>
          <w:vertAlign w:val="subscript"/>
        </w:rPr>
        <w:t>3</w:t>
      </w:r>
      <w:r w:rsidRPr="00271A4B">
        <w:rPr>
          <w:rFonts w:ascii="Times New Roman" w:hAnsi="Times New Roman"/>
          <w:sz w:val="28"/>
          <w:szCs w:val="28"/>
        </w:rPr>
        <w:t>, — С</w:t>
      </w:r>
      <w:r w:rsidRPr="00271A4B">
        <w:rPr>
          <w:rFonts w:ascii="Times New Roman" w:hAnsi="Times New Roman"/>
          <w:sz w:val="28"/>
          <w:szCs w:val="28"/>
          <w:vertAlign w:val="subscript"/>
        </w:rPr>
        <w:t>2</w:t>
      </w:r>
      <w:r w:rsidRPr="00271A4B">
        <w:rPr>
          <w:rFonts w:ascii="Times New Roman" w:hAnsi="Times New Roman"/>
          <w:sz w:val="28"/>
          <w:szCs w:val="28"/>
        </w:rPr>
        <w:t>Н</w:t>
      </w:r>
      <w:r w:rsidRPr="00271A4B">
        <w:rPr>
          <w:rFonts w:ascii="Times New Roman" w:hAnsi="Times New Roman"/>
          <w:sz w:val="28"/>
          <w:szCs w:val="28"/>
          <w:vertAlign w:val="subscript"/>
        </w:rPr>
        <w:t>5</w:t>
      </w:r>
      <w:r w:rsidRPr="00271A4B">
        <w:rPr>
          <w:rFonts w:ascii="Times New Roman" w:hAnsi="Times New Roman"/>
          <w:sz w:val="28"/>
          <w:szCs w:val="28"/>
        </w:rPr>
        <w:t xml:space="preserve"> или — С</w:t>
      </w:r>
      <w:r w:rsidRPr="00271A4B">
        <w:rPr>
          <w:rFonts w:ascii="Times New Roman" w:hAnsi="Times New Roman"/>
          <w:sz w:val="28"/>
          <w:szCs w:val="28"/>
          <w:vertAlign w:val="subscript"/>
        </w:rPr>
        <w:t>3</w:t>
      </w:r>
      <w:r w:rsidRPr="00271A4B">
        <w:rPr>
          <w:rFonts w:ascii="Times New Roman" w:hAnsi="Times New Roman"/>
          <w:sz w:val="28"/>
          <w:szCs w:val="28"/>
        </w:rPr>
        <w:t>Н</w:t>
      </w:r>
      <w:r w:rsidRPr="00271A4B">
        <w:rPr>
          <w:rFonts w:ascii="Times New Roman" w:hAnsi="Times New Roman"/>
          <w:sz w:val="28"/>
          <w:szCs w:val="28"/>
          <w:vertAlign w:val="subscript"/>
        </w:rPr>
        <w:t>7</w:t>
      </w:r>
      <w:r w:rsidRPr="00271A4B">
        <w:rPr>
          <w:rFonts w:ascii="Times New Roman" w:hAnsi="Times New Roman"/>
          <w:sz w:val="28"/>
          <w:szCs w:val="28"/>
        </w:rPr>
        <w:t>. В результате гидролиза и поликонденсации происходит образование золя.</w:t>
      </w:r>
    </w:p>
    <w:p w14:paraId="20715791" w14:textId="77777777" w:rsidR="005056BB" w:rsidRPr="00271A4B" w:rsidRDefault="00997F80" w:rsidP="00271A4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2. </w:t>
      </w:r>
      <w:r w:rsidRPr="00271A4B">
        <w:rPr>
          <w:rFonts w:ascii="Times New Roman" w:hAnsi="Times New Roman"/>
          <w:sz w:val="28"/>
          <w:szCs w:val="28"/>
        </w:rPr>
        <w:t>Формование. Золь заливают в форму. Материал формы выбирают таким образом, чтобы увеличить (или уменьшить) адгезию на стенках формы.</w:t>
      </w:r>
    </w:p>
    <w:p w14:paraId="37391DC2" w14:textId="77777777" w:rsidR="005056BB" w:rsidRPr="00271A4B" w:rsidRDefault="00997F80" w:rsidP="00271A4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3. </w:t>
      </w:r>
      <w:r w:rsidRPr="00271A4B">
        <w:rPr>
          <w:rFonts w:ascii="Times New Roman" w:hAnsi="Times New Roman"/>
          <w:sz w:val="28"/>
          <w:szCs w:val="28"/>
        </w:rPr>
        <w:t>Образование геля — превращение свободнодисперсной системы (золя) в связнодиспсрсную. Образованию геля предшествует повышение вязкости системы. Продукты гидролиза (вода, спирт, соли) остаются в трехмерной пространственной структуре геля. На ранних стадиях процесса, когда система сохраняет вязкотекучие свойства, из гелей можно формовать основу</w:t>
      </w:r>
      <w:r w:rsidRPr="00271A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71A4B">
        <w:rPr>
          <w:rFonts w:ascii="Times New Roman" w:hAnsi="Times New Roman"/>
          <w:sz w:val="28"/>
          <w:szCs w:val="28"/>
        </w:rPr>
        <w:t>волокнистых материалов.</w:t>
      </w:r>
    </w:p>
    <w:p w14:paraId="25376B47" w14:textId="77777777" w:rsidR="005056BB" w:rsidRPr="00271A4B" w:rsidRDefault="00997F80" w:rsidP="00271A4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4. </w:t>
      </w:r>
      <w:r w:rsidRPr="00271A4B">
        <w:rPr>
          <w:rFonts w:ascii="Times New Roman" w:hAnsi="Times New Roman"/>
          <w:sz w:val="28"/>
          <w:szCs w:val="28"/>
        </w:rPr>
        <w:t>Старение (созревание) геля. На этой стадии происходит симерезис — выделение воды в ходе продолжающейся химической реакции поликонденсации, уплотнение структуры геля. Прочность геля растет. Созревание геля проводят до формирования достаточно прочной структуры.</w:t>
      </w:r>
    </w:p>
    <w:p w14:paraId="5A1B476D" w14:textId="77777777" w:rsidR="00271A4B" w:rsidRDefault="00997F80" w:rsidP="00271A4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5. </w:t>
      </w:r>
      <w:r w:rsidRPr="00271A4B">
        <w:rPr>
          <w:rFonts w:ascii="Times New Roman" w:hAnsi="Times New Roman"/>
          <w:sz w:val="28"/>
          <w:szCs w:val="28"/>
        </w:rPr>
        <w:t xml:space="preserve">Сушка — удаление жидкости из пространственной структуры геля. При удалении свободной воды из геля формируются смачивающие капиллярные мениски, что приводит к возникновению дополнительного (лапласовского) давления. Лапласовское давление зависит от кривизны поверхности жидкости в порах: </w:t>
      </w:r>
    </w:p>
    <w:p w14:paraId="6390091F" w14:textId="77777777" w:rsidR="00271A4B" w:rsidRDefault="00271A4B" w:rsidP="00271A4B">
      <w:pPr>
        <w:spacing w:after="0" w:line="360" w:lineRule="auto"/>
        <w:ind w:left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7BAD303" w14:textId="77777777" w:rsidR="005056BB" w:rsidRPr="00271A4B" w:rsidRDefault="00A365A8" w:rsidP="00271A4B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365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0A6677" wp14:editId="4E09CC34">
            <wp:extent cx="1112520" cy="19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DF162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620787" w14:textId="77777777" w:rsid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где </w:t>
      </w:r>
      <w:r w:rsidRPr="00271A4B">
        <w:rPr>
          <w:rFonts w:ascii="Times New Roman" w:hAnsi="Times New Roman"/>
          <w:sz w:val="28"/>
          <w:szCs w:val="28"/>
          <w:lang w:val="el-GR"/>
        </w:rPr>
        <w:t>Δ</w:t>
      </w:r>
      <w:r w:rsidRPr="00271A4B">
        <w:rPr>
          <w:rFonts w:ascii="Times New Roman" w:hAnsi="Times New Roman"/>
          <w:i/>
          <w:iCs/>
          <w:sz w:val="28"/>
          <w:szCs w:val="28"/>
        </w:rPr>
        <w:t xml:space="preserve">р </w:t>
      </w:r>
      <w:r w:rsidRPr="00271A4B">
        <w:rPr>
          <w:rFonts w:ascii="Times New Roman" w:hAnsi="Times New Roman"/>
          <w:sz w:val="28"/>
          <w:szCs w:val="28"/>
        </w:rPr>
        <w:t>— разность давлений внутри жидкости, имеющей изогнутую и плоскую поверхности:</w:t>
      </w:r>
    </w:p>
    <w:p w14:paraId="6FC7B875" w14:textId="77777777" w:rsid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— радиус кривизны мениска жидкости; </w:t>
      </w:r>
    </w:p>
    <w:p w14:paraId="5BFC486E" w14:textId="77777777" w:rsid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  <w:lang w:val="el-GR"/>
        </w:rPr>
        <w:t>σ</w:t>
      </w:r>
      <w:r w:rsidRPr="00271A4B">
        <w:rPr>
          <w:rFonts w:ascii="Times New Roman" w:hAnsi="Times New Roman"/>
          <w:sz w:val="28"/>
          <w:szCs w:val="28"/>
        </w:rPr>
        <w:t xml:space="preserve"> — поверхностное натяжение дисперсионной среды. Радиус кривизны мениска связан с радиусом поры соотношением:</w:t>
      </w:r>
    </w:p>
    <w:p w14:paraId="78737B66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lastRenderedPageBreak/>
        <w:t xml:space="preserve">где </w:t>
      </w:r>
      <w:r w:rsidRPr="00271A4B">
        <w:rPr>
          <w:rFonts w:ascii="Times New Roman" w:hAnsi="Times New Roman"/>
          <w:sz w:val="28"/>
          <w:szCs w:val="28"/>
          <w:lang w:val="en-US"/>
        </w:rPr>
        <w:t>r</w:t>
      </w:r>
      <w:r w:rsidRPr="00271A4B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r w:rsidRPr="00271A4B">
        <w:rPr>
          <w:rFonts w:ascii="Times New Roman" w:hAnsi="Times New Roman"/>
          <w:sz w:val="28"/>
          <w:szCs w:val="28"/>
        </w:rPr>
        <w:t xml:space="preserve">— радиус капилляра: </w:t>
      </w:r>
      <w:r w:rsidRPr="00271A4B">
        <w:rPr>
          <w:rFonts w:ascii="Times New Roman" w:hAnsi="Cambria Math"/>
          <w:sz w:val="28"/>
          <w:szCs w:val="28"/>
          <w:lang w:val="el-GR"/>
        </w:rPr>
        <w:t>ϴ</w:t>
      </w:r>
      <w:r w:rsidRPr="00271A4B">
        <w:rPr>
          <w:rFonts w:ascii="Times New Roman" w:hAnsi="Times New Roman"/>
          <w:sz w:val="28"/>
          <w:szCs w:val="28"/>
        </w:rPr>
        <w:t xml:space="preserve"> — угол смачивания стенок поры дисперсионной средой.</w:t>
      </w:r>
    </w:p>
    <w:p w14:paraId="0151F749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На стадии сушки капиллярные силы приводят к растрескиванию пространственной структуры геля. Капиллярное давление зависит от размеров пор и смачивания стенок пор дисперсионной средой. Для снижения капиллярного давления сушку геля предпочтительно проводить под вакуумом, а также путем обработки геля химическими реагентами (поверхностноактивными веществами, органическими кислотами и спиртами, фор-мамидом и др.). Эти вещества влияют на все стадии процесса перехода золя в гель, уменьшают межфазное натяжение в порах и снижают действие капиллярных сил при сушке. Размеры пор можно регулировать химической обработкой геля. Условия проведения сушки в значительной степени влияют на свойства ксерогелей (аэрогелей). Для получения монолита рекомендуется сушку проводить в гиперкритических условиях</w:t>
      </w:r>
      <w:r w:rsidRPr="00271A4B">
        <w:rPr>
          <w:rFonts w:ascii="Times New Roman" w:hAnsi="Times New Roman"/>
          <w:sz w:val="28"/>
          <w:szCs w:val="28"/>
          <w:lang w:val="en-US"/>
        </w:rPr>
        <w:t>.</w:t>
      </w:r>
      <w:r w:rsidRPr="00271A4B">
        <w:rPr>
          <w:rFonts w:ascii="Times New Roman" w:hAnsi="Times New Roman"/>
          <w:sz w:val="28"/>
          <w:szCs w:val="28"/>
        </w:rPr>
        <w:t xml:space="preserve"> </w:t>
      </w:r>
    </w:p>
    <w:p w14:paraId="40886F7B" w14:textId="77777777" w:rsidR="005056BB" w:rsidRPr="00271A4B" w:rsidRDefault="00997F80" w:rsidP="00271A4B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b/>
          <w:bCs/>
          <w:i/>
          <w:iCs/>
          <w:sz w:val="28"/>
          <w:szCs w:val="28"/>
        </w:rPr>
        <w:t xml:space="preserve">Стадия 6. </w:t>
      </w:r>
      <w:r w:rsidRPr="00271A4B">
        <w:rPr>
          <w:rFonts w:ascii="Times New Roman" w:hAnsi="Times New Roman"/>
          <w:sz w:val="28"/>
          <w:szCs w:val="28"/>
        </w:rPr>
        <w:t>На этой стадии происходит дегидратация кремнезема путем удаления поверхностных силанольных групп. Одним из способов дегидратации является обработка геля хлорсиланом с целью химического замещения силанольных групп кремнезема. Реакция протекает по схеме: </w:t>
      </w:r>
    </w:p>
    <w:p w14:paraId="4D2991DC" w14:textId="77777777" w:rsidR="00271A4B" w:rsidRDefault="00271A4B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CD717F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  <w:lang w:val="en-US"/>
        </w:rPr>
        <w:t>CI</w:t>
      </w:r>
      <w:r w:rsidRPr="00271A4B">
        <w:rPr>
          <w:rFonts w:ascii="Times New Roman" w:hAnsi="Times New Roman"/>
          <w:sz w:val="28"/>
          <w:szCs w:val="28"/>
        </w:rPr>
        <w:t>≡</w:t>
      </w:r>
      <w:r w:rsidRPr="00271A4B">
        <w:rPr>
          <w:rFonts w:ascii="Times New Roman" w:hAnsi="Times New Roman"/>
          <w:sz w:val="28"/>
          <w:szCs w:val="28"/>
          <w:lang w:val="en-US"/>
        </w:rPr>
        <w:t>Si</w:t>
      </w:r>
      <w:r w:rsidRPr="00271A4B">
        <w:rPr>
          <w:rFonts w:ascii="Times New Roman" w:hAnsi="Times New Roman"/>
          <w:sz w:val="28"/>
          <w:szCs w:val="28"/>
        </w:rPr>
        <w:t xml:space="preserve"> (</w:t>
      </w:r>
      <w:r w:rsidRPr="00271A4B">
        <w:rPr>
          <w:rFonts w:ascii="Times New Roman" w:hAnsi="Times New Roman"/>
          <w:sz w:val="28"/>
          <w:szCs w:val="28"/>
          <w:lang w:val="en-US"/>
        </w:rPr>
        <w:t>CH</w:t>
      </w:r>
      <w:r w:rsidRPr="00271A4B">
        <w:rPr>
          <w:rFonts w:ascii="Times New Roman" w:hAnsi="Times New Roman"/>
          <w:sz w:val="28"/>
          <w:szCs w:val="28"/>
          <w:vertAlign w:val="subscript"/>
        </w:rPr>
        <w:t>3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3</w:t>
      </w:r>
      <w:r w:rsidRPr="00271A4B">
        <w:rPr>
          <w:rFonts w:ascii="Times New Roman" w:hAnsi="Times New Roman"/>
          <w:sz w:val="28"/>
          <w:szCs w:val="28"/>
        </w:rPr>
        <w:t xml:space="preserve"> + ≡</w:t>
      </w:r>
      <w:r w:rsidRPr="00271A4B">
        <w:rPr>
          <w:rFonts w:ascii="Times New Roman" w:hAnsi="Times New Roman"/>
          <w:sz w:val="28"/>
          <w:szCs w:val="28"/>
          <w:lang w:val="en-US"/>
        </w:rPr>
        <w:t>Si</w:t>
      </w:r>
      <w:r w:rsidRPr="00271A4B">
        <w:rPr>
          <w:rFonts w:ascii="Times New Roman" w:hAnsi="Times New Roman"/>
          <w:sz w:val="28"/>
          <w:szCs w:val="28"/>
        </w:rPr>
        <w:t>-</w:t>
      </w:r>
      <w:r w:rsidRPr="00271A4B">
        <w:rPr>
          <w:rFonts w:ascii="Times New Roman" w:hAnsi="Times New Roman"/>
          <w:sz w:val="28"/>
          <w:szCs w:val="28"/>
          <w:lang w:val="en-US"/>
        </w:rPr>
        <w:t>OH</w:t>
      </w:r>
      <w:r w:rsidRPr="00271A4B">
        <w:rPr>
          <w:rFonts w:ascii="Times New Roman" w:hAnsi="Times New Roman"/>
          <w:sz w:val="28"/>
          <w:szCs w:val="28"/>
        </w:rPr>
        <w:t xml:space="preserve"> -&gt; ≡</w:t>
      </w:r>
      <w:r w:rsidRPr="00271A4B">
        <w:rPr>
          <w:rFonts w:ascii="Times New Roman" w:hAnsi="Times New Roman"/>
          <w:sz w:val="28"/>
          <w:szCs w:val="28"/>
          <w:lang w:val="en-US"/>
        </w:rPr>
        <w:t>Si</w:t>
      </w:r>
      <w:r w:rsidRPr="00271A4B">
        <w:rPr>
          <w:rFonts w:ascii="Times New Roman" w:hAnsi="Times New Roman"/>
          <w:sz w:val="28"/>
          <w:szCs w:val="28"/>
        </w:rPr>
        <w:t>-0-</w:t>
      </w:r>
      <w:r w:rsidRPr="00271A4B">
        <w:rPr>
          <w:rFonts w:ascii="Times New Roman" w:hAnsi="Times New Roman"/>
          <w:sz w:val="28"/>
          <w:szCs w:val="28"/>
          <w:lang w:val="en-US"/>
        </w:rPr>
        <w:t>Si</w:t>
      </w:r>
      <w:r w:rsidRPr="00271A4B">
        <w:rPr>
          <w:rFonts w:ascii="Times New Roman" w:hAnsi="Times New Roman"/>
          <w:sz w:val="28"/>
          <w:szCs w:val="28"/>
        </w:rPr>
        <w:t>≡(</w:t>
      </w:r>
      <w:r w:rsidRPr="00271A4B">
        <w:rPr>
          <w:rFonts w:ascii="Times New Roman" w:hAnsi="Times New Roman"/>
          <w:sz w:val="28"/>
          <w:szCs w:val="28"/>
          <w:lang w:val="en-US"/>
        </w:rPr>
        <w:t>CH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3</w:t>
      </w:r>
      <w:r w:rsidRPr="00271A4B">
        <w:rPr>
          <w:rFonts w:ascii="Times New Roman" w:hAnsi="Times New Roman"/>
          <w:sz w:val="28"/>
          <w:szCs w:val="28"/>
        </w:rPr>
        <w:t xml:space="preserve"> 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3</w:t>
      </w:r>
      <w:r w:rsidRPr="00271A4B">
        <w:rPr>
          <w:rFonts w:ascii="Times New Roman" w:hAnsi="Times New Roman"/>
          <w:sz w:val="28"/>
          <w:szCs w:val="28"/>
        </w:rPr>
        <w:t xml:space="preserve">  + </w:t>
      </w:r>
      <w:r w:rsidRPr="00271A4B">
        <w:rPr>
          <w:rFonts w:ascii="Times New Roman" w:hAnsi="Times New Roman"/>
          <w:sz w:val="28"/>
          <w:szCs w:val="28"/>
          <w:lang w:val="en-US"/>
        </w:rPr>
        <w:t>HCI</w:t>
      </w:r>
      <w:r w:rsidRPr="00271A4B">
        <w:rPr>
          <w:rFonts w:ascii="Times New Roman" w:hAnsi="Times New Roman"/>
          <w:sz w:val="28"/>
          <w:szCs w:val="28"/>
        </w:rPr>
        <w:t xml:space="preserve">. </w:t>
      </w:r>
    </w:p>
    <w:p w14:paraId="3A880767" w14:textId="77777777" w:rsidR="00271A4B" w:rsidRDefault="00271A4B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90D456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При 400÷800 С ˚</w:t>
      </w:r>
      <w:r w:rsidRPr="00271A4B">
        <w:rPr>
          <w:rFonts w:ascii="Times New Roman" w:hAnsi="Times New Roman"/>
          <w:sz w:val="28"/>
          <w:szCs w:val="28"/>
          <w:lang w:val="en-US"/>
        </w:rPr>
        <w:t>HCI</w:t>
      </w:r>
      <w:r w:rsidRPr="00271A4B">
        <w:rPr>
          <w:rFonts w:ascii="Times New Roman" w:hAnsi="Times New Roman"/>
          <w:sz w:val="28"/>
          <w:szCs w:val="28"/>
        </w:rPr>
        <w:t xml:space="preserve"> десорбируется. Разложение кремнийор-ганических соединений происходит при температуре &gt; 400 °С, а при проведении процесса ниже 400 °С дегидратация полностью обратимая.</w:t>
      </w:r>
    </w:p>
    <w:p w14:paraId="422E9985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Наноспирали оксида кремния</w:t>
      </w:r>
    </w:p>
    <w:p w14:paraId="10C45897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Во многих научных журналах публикуются статьи, в которых учёные синтезируют и описывают всё новые и новые неорганические структуры. Однако для потенциального применения различных материалов одним из важнейших критериев является воспроизводимость тех или иных выдающихся результатов. Группа французских учёных решила часть этой </w:t>
      </w:r>
      <w:r w:rsidRPr="00271A4B">
        <w:rPr>
          <w:rFonts w:ascii="Times New Roman" w:hAnsi="Times New Roman"/>
          <w:sz w:val="28"/>
          <w:szCs w:val="28"/>
        </w:rPr>
        <w:lastRenderedPageBreak/>
        <w:t xml:space="preserve">нелёгкой проблемы в работе, опубликованной недавно в NanoLetters. Они разработали в деталях подход для получения различных наноструктур, начиная от нанотрубок и заканчивая наноспиралями, на основе диоксида кремния с помощью золь-гель технологии. </w:t>
      </w:r>
    </w:p>
    <w:p w14:paraId="57874117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Золь-гель процесс является достаточно простым примером самоорганизации органических систем. А полученные с помощью данной технологии органические наноструктуры можно использовать в качестве темплатов для создания материалов с самой экзотической морфологией. В частности, данный подход интенсивно изучается и даже успешно и широко применяется для создания материалов на основе диоксида кремния с различной морфологией и контролируемой пористостью. </w:t>
      </w:r>
    </w:p>
    <w:p w14:paraId="7AD8FDF2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За основу авторы работы взяли ПАВ (C</w:t>
      </w:r>
      <w:r w:rsidRPr="00271A4B">
        <w:rPr>
          <w:rFonts w:ascii="Times New Roman" w:hAnsi="Times New Roman"/>
          <w:sz w:val="28"/>
          <w:szCs w:val="28"/>
          <w:vertAlign w:val="subscript"/>
        </w:rPr>
        <w:t>2</w:t>
      </w:r>
      <w:r w:rsidRPr="00271A4B">
        <w:rPr>
          <w:rFonts w:ascii="Times New Roman" w:hAnsi="Times New Roman"/>
          <w:sz w:val="28"/>
          <w:szCs w:val="28"/>
        </w:rPr>
        <w:t>H</w:t>
      </w:r>
      <w:r w:rsidRPr="00271A4B">
        <w:rPr>
          <w:rFonts w:ascii="Times New Roman" w:hAnsi="Times New Roman"/>
          <w:sz w:val="28"/>
          <w:szCs w:val="28"/>
          <w:vertAlign w:val="subscript"/>
        </w:rPr>
        <w:t>4</w:t>
      </w:r>
      <w:r w:rsidRPr="00271A4B">
        <w:rPr>
          <w:rFonts w:ascii="Times New Roman" w:hAnsi="Times New Roman"/>
          <w:sz w:val="28"/>
          <w:szCs w:val="28"/>
        </w:rPr>
        <w:t>-1,2-((CH</w:t>
      </w:r>
      <w:r w:rsidRPr="00271A4B">
        <w:rPr>
          <w:rFonts w:ascii="Times New Roman" w:hAnsi="Times New Roman"/>
          <w:sz w:val="28"/>
          <w:szCs w:val="28"/>
          <w:vertAlign w:val="subscript"/>
        </w:rPr>
        <w:t>3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</w:t>
      </w:r>
      <w:r w:rsidRPr="00271A4B">
        <w:rPr>
          <w:rFonts w:ascii="Times New Roman" w:hAnsi="Times New Roman"/>
          <w:sz w:val="28"/>
          <w:szCs w:val="28"/>
        </w:rPr>
        <w:t>N</w:t>
      </w:r>
      <w:r w:rsidRPr="00271A4B">
        <w:rPr>
          <w:sz w:val="28"/>
          <w:szCs w:val="28"/>
        </w:rPr>
        <w:t>⁺</w:t>
      </w:r>
      <w:r w:rsidRPr="00271A4B">
        <w:rPr>
          <w:rFonts w:ascii="Times New Roman" w:hAnsi="Times New Roman"/>
          <w:sz w:val="28"/>
          <w:szCs w:val="28"/>
        </w:rPr>
        <w:t>C</w:t>
      </w:r>
      <w:r w:rsidRPr="00271A4B">
        <w:rPr>
          <w:rFonts w:ascii="Times New Roman" w:hAnsi="Times New Roman"/>
          <w:sz w:val="28"/>
          <w:szCs w:val="28"/>
          <w:vertAlign w:val="subscript"/>
        </w:rPr>
        <w:t>16</w:t>
      </w:r>
      <w:r w:rsidRPr="00271A4B">
        <w:rPr>
          <w:rFonts w:ascii="Times New Roman" w:hAnsi="Times New Roman"/>
          <w:sz w:val="28"/>
          <w:szCs w:val="28"/>
        </w:rPr>
        <w:t>H</w:t>
      </w:r>
      <w:r w:rsidRPr="00271A4B">
        <w:rPr>
          <w:rFonts w:ascii="Times New Roman" w:hAnsi="Times New Roman"/>
          <w:sz w:val="28"/>
          <w:szCs w:val="28"/>
          <w:vertAlign w:val="subscript"/>
        </w:rPr>
        <w:t>33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</w:t>
      </w:r>
      <w:r w:rsidRPr="00271A4B">
        <w:rPr>
          <w:rFonts w:ascii="Times New Roman" w:hAnsi="Times New Roman"/>
          <w:sz w:val="28"/>
          <w:szCs w:val="28"/>
        </w:rPr>
        <w:t xml:space="preserve">) и TEOS в смеси с бензиламином в качестве катализатора. TEOS подвергался гидролизу на поверхности «шаблонного» органического геля. Затем органика удалялась путём отжига при температуре 450°С. На рисунке 1 представлены микрофотографии полученных образцов. </w:t>
      </w:r>
    </w:p>
    <w:p w14:paraId="71933103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Синтез монолита аэрогеля ZnO золь-гель методом</w:t>
      </w:r>
    </w:p>
    <w:p w14:paraId="36CC22EC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Золь-гель метод с применением эпоксидных материалов - достаточно новый метод синтеза оксидов металлов главных и побочных подгрупп. Монолит аэрогеля оксида цинка был получен золь-гель методом из спиртового раствора нитрата цинка и пропилен-оксида в качестве инициатора гелеобразования. Алкогели подвергались сушке как в сверхкритическом CO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</w:t>
      </w:r>
      <w:r w:rsidRPr="00271A4B">
        <w:rPr>
          <w:rFonts w:ascii="Times New Roman" w:hAnsi="Times New Roman"/>
          <w:sz w:val="28"/>
          <w:szCs w:val="28"/>
        </w:rPr>
        <w:t xml:space="preserve"> (с образованием аэрогелей), так и при комнатной температуре (с образованием ксерогеля). Полученные материалы исследовались следующими методами анализа: рентгенофазовый анализ (РФА), сканирующая электронная микроскопия (СЭМ), методы капилярной адсорбции/десорбции азота (БЭТ), фотолюминесценция (ФЛ). Отжиг полученных аэрогелей при температуре 250°С позволяет получить материал с хорошими фотолюминесцентными свойствами при сохранении высокой  пористости.</w:t>
      </w:r>
    </w:p>
    <w:p w14:paraId="506481B0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lastRenderedPageBreak/>
        <w:t>В последнее десятилетие большой интерес вызывает дизайн и получение функциональных материалов на основе наноструктурированных систем с заданными физико-химическими свойствами. Это, безусловно, относится к системам на основе оксида цинка.</w:t>
      </w:r>
    </w:p>
    <w:p w14:paraId="3AD0217E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Начиная с 60-х годов двадцатого столетия синтезу тонких пленок оксида цинка уделяется большое внимание в связи с тем, что они могут применяться в качестве сенсоров, трансдюсеров, а также катализаторов. В последние несколько десятилетий развитие нанотехнологий и открытие различных квантовых эффектов в наночастицах показало, что работа большинства новых устройств будет основано на уникальных свойствах наноматериалов. Наноматериалы на основе оксида цинка привлекают большой интерес в связи с тем, что они проявляют как пьезоэлектрические свойства, так и свойства широкозонного полупроводника (Eg=3.37 эВ), а также обладают большой энергией связывания экситонов (60 эВ). </w:t>
      </w:r>
    </w:p>
    <w:p w14:paraId="5DA1AF78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Аэрогели – материалы с большой площадью поверхности, малой плотностью, состоящие из блоков частиц, соединенных вместе и образующих высокопористую структуру. Благодаря своим свойствам аэрогели имеют большой потенциал применения: материалы для адсорбции, фильтрации и гетерогенного катализа, в качестве термоизоляторов, электродов для батарей и конденсаторов.</w:t>
      </w:r>
    </w:p>
    <w:p w14:paraId="1ED5807D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Чаще всего, для синтеза материалов на основе оксида цинка с большой площадью поверхности используется золь-гель метод. Обычно, оксид цинка «встраивают» в аморфную или частично-кристаллическую матрицу SiO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</w:t>
      </w:r>
      <w:r w:rsidRPr="00271A4B">
        <w:rPr>
          <w:rFonts w:ascii="Times New Roman" w:hAnsi="Times New Roman"/>
          <w:sz w:val="28"/>
          <w:szCs w:val="28"/>
        </w:rPr>
        <w:t xml:space="preserve">, для образования которой используются алкоксиды кремния. При этом, в литературе практически отсутствуют данные по образованию чистых монолитов аэрогелей на основе оксида цинка из алкоксидов, что связано с их нестабильностью. В последнее время, для синтеза аэрогелей стал применяться новый золь-гель метод синтеза оксидов переходных металлов и металлов главных групп. Метод заключается в использовании простых неорганических солей и эпоксидов в последующей реакции полимеризации. </w:t>
      </w:r>
      <w:r w:rsidRPr="00271A4B">
        <w:rPr>
          <w:rFonts w:ascii="Times New Roman" w:hAnsi="Times New Roman"/>
          <w:sz w:val="28"/>
          <w:szCs w:val="28"/>
        </w:rPr>
        <w:lastRenderedPageBreak/>
        <w:t xml:space="preserve">Одним из преимуществ эпоксидного метода является использование простых солей (т.е. нитратов и галогенидов) вместо алкоксидных прекурсоров. В данной работе этот метод использовался для получения монолита аэрогеля оксида цинка. Данный метод является дешевым, воспроизводимый и требует небольшое количество стадий для получения монолита. </w:t>
      </w:r>
    </w:p>
    <w:p w14:paraId="7FAEF27B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Синтез геля ZnO. В настоящей работе исходными рабочими веществами являлись Zn(NO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3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 </w:t>
      </w:r>
      <w:r w:rsidRPr="00271A4B">
        <w:rPr>
          <w:rFonts w:ascii="Times New Roman" w:hAnsi="Times New Roman"/>
          <w:sz w:val="28"/>
          <w:szCs w:val="28"/>
        </w:rPr>
        <w:t>∙6H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 </w:t>
      </w:r>
      <w:r w:rsidRPr="00271A4B">
        <w:rPr>
          <w:rFonts w:ascii="Times New Roman" w:hAnsi="Times New Roman"/>
          <w:sz w:val="28"/>
          <w:szCs w:val="28"/>
        </w:rPr>
        <w:t>O (J.T. Baker), метанол (Fisher), этанол (100%, Fisher), изопропанол (Fisher), ацетон (Mallinckrodt), а также пропилен-оксид (AlfaAesar). Дистиллированную воду получали, используя систему Easy Pure II, Barnstead International.</w:t>
      </w:r>
    </w:p>
    <w:p w14:paraId="759945ED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К 1.25 мл растворителя (табл. 1) добавляли при перемешивании  0.238г  Zn(NO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3</w:t>
      </w:r>
      <w:r w:rsidRPr="00271A4B">
        <w:rPr>
          <w:rFonts w:ascii="Times New Roman" w:hAnsi="Times New Roman"/>
          <w:sz w:val="28"/>
          <w:szCs w:val="28"/>
        </w:rPr>
        <w:t>)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 </w:t>
      </w:r>
      <w:r w:rsidRPr="00271A4B">
        <w:rPr>
          <w:rFonts w:ascii="Times New Roman" w:hAnsi="Times New Roman"/>
          <w:sz w:val="28"/>
          <w:szCs w:val="28"/>
        </w:rPr>
        <w:t>∙6H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 </w:t>
      </w:r>
      <w:r w:rsidRPr="00271A4B">
        <w:rPr>
          <w:rFonts w:ascii="Times New Roman" w:hAnsi="Times New Roman"/>
          <w:sz w:val="28"/>
          <w:szCs w:val="28"/>
        </w:rPr>
        <w:t xml:space="preserve">O до образования бесцветного раствора. После перемешивания к раствору добавили 0.465 г пропиленоксида. Смесь тщательно перемешивали в течение двух минут, затем поместили в пластиковую емкость для дальнейшего гелеобразования в течение 3-5 дней. Впоследствии, гель промывался ацетоном в течение недели. Промытые в ацетоне гели помещали в автоклав, где ацетон заменяли на жидкий CO2 в течение 2-4 дней, после чего температура автоклава была повышена до 45°С и давление 1150 psi (фунтов на квадратный дюйм) и подвергался сверхкритической сушке в течение 3 часов, в результате получались монолиты аэрогелей. Ксерогели оксида цинка получали медленным испарением ацетона из гелей в течение 30 дней. </w:t>
      </w:r>
    </w:p>
    <w:p w14:paraId="141C8F02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Для определения величины удельной поверхности по методу Brunauer-Emmett-Teller (BET) и удельного объема пор по методу Barrett-Joyner-Halenda (BJH) были проведены опыты по капиллярной адсорбции-десорбции азота на синтезированных образцах (Nova 3200e, Quantochrome Instrument Corp.). Перед измерениями образцы подвергались дегазификации в течение 20-40 ч. Каждое измерение проводилось в течение 24 часов, чтобы достичь 150-ти секундного равновесного интервала.</w:t>
      </w:r>
    </w:p>
    <w:p w14:paraId="26A70796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lastRenderedPageBreak/>
        <w:t xml:space="preserve">Микроструктура и элементное распределение образцов исследовались сканирующей электронной микроскопией (СЭМ) в совокупности с локальным рентгеноспектральным анализом (ЛРСА) на сканирующем электронном микроскопе Hitachi S-4300. Ускоряющее напряжение составляло 3 кВ. Рентгенофазовый анализ (РФА) образцов проводили на дифрактометре Philips Nerelco с использованием CuKa излучения. Фотолюминсеценция образцов проводилась на спектрофотометре Fluoromax-3 (Jobin Yvon, Horiba), λ=325 нм. </w:t>
      </w:r>
    </w:p>
    <w:p w14:paraId="70DAC062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Образование геля. В результате добавления пропилен-окисда к раствору нитрата цинка образуется белый гель оксида цинка. Условия синтеза гелей оксида цинка приведены в таблице 1.</w:t>
      </w:r>
    </w:p>
    <w:p w14:paraId="131366F7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Образование геля наблюдалось при использовании всех растворителей, кроме воды. Единственным различием при выборе растворителя являлось время образования геля (например, для метанола – 8ч10 ч, а для изопропанола 2ч3 ч). Это может быть объяснено различной стабильностью и растворимостью золя оксида цинка в том или ином растворителе.</w:t>
      </w:r>
    </w:p>
    <w:p w14:paraId="6A61D2D7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Гели, представленные в таблице 1, подвергались сушке при атмосферных или сверхкритических условиях в CO</w:t>
      </w:r>
      <w:r w:rsidRPr="00271A4B">
        <w:rPr>
          <w:rFonts w:ascii="Times New Roman" w:hAnsi="Times New Roman"/>
          <w:sz w:val="28"/>
          <w:szCs w:val="28"/>
          <w:vertAlign w:val="subscript"/>
        </w:rPr>
        <w:t xml:space="preserve"> 2</w:t>
      </w:r>
      <w:r w:rsidRPr="00271A4B">
        <w:rPr>
          <w:rFonts w:ascii="Times New Roman" w:hAnsi="Times New Roman"/>
          <w:sz w:val="28"/>
          <w:szCs w:val="28"/>
        </w:rPr>
        <w:t xml:space="preserve"> для получения ксерогелей и аэрогелей соответственно. На рисунке 1 представлена фотография свежеприготовленного монолита аэрогеля.</w:t>
      </w:r>
    </w:p>
    <w:p w14:paraId="45E27C63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Плотность полученных аэрогелей была рассчитана из отношения массы к объему и составила ~0.04 г/см³ для всех образцов. Стоит отметить, что стабильность полученных аэрогелей зависела от растворителя. Например, этанол, изопропанол и ацетон не являются перспективными растворителями для синтеза аэрогелей в связи с тем, что полученные образцы (A2, A3 и A4) были довольно хрупкими и разламывались при извлечении аэрогеля из реактора (рис. 1B). </w:t>
      </w:r>
    </w:p>
    <w:p w14:paraId="1CCACC97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На рис. 2А представлена рентгенограмма образца А1. На рентгенограмме можно видеть набор нечетко выраженных пиков, которые могут быть отнесены к (100), (101), (102), (103) и (112) рефлексам </w:t>
      </w:r>
      <w:r w:rsidRPr="00271A4B">
        <w:rPr>
          <w:rFonts w:ascii="Times New Roman" w:hAnsi="Times New Roman"/>
          <w:sz w:val="28"/>
          <w:szCs w:val="28"/>
        </w:rPr>
        <w:lastRenderedPageBreak/>
        <w:t xml:space="preserve">модификации оксида цинка – вюрцита (JCPDS #5-664). Чтобы увеличить кристалличность, полученные аэрогели отжигались при температуре 150°С в течение 5 часов. Рентгенограмма отожженного образца приведена на рис. 2B. Как видно из графика, отношение интенсивности пиков к фону увеличивается, что свидетельствует об увеличении кристалличности. Непроиндицированные пики относятся к другим продуктам синтеза аэрогелей. </w:t>
      </w:r>
    </w:p>
    <w:p w14:paraId="2B17828A" w14:textId="77777777" w:rsidR="005056BB" w:rsidRPr="00271A4B" w:rsidRDefault="00997F80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По данным СЭМ, образец А1 имеет слоистую микроструктуру, по форме напоминающую цветы (рис. 3А). Его аналог (ксерогель X1) состоит из плоских частиц, имеющих гексагональную форму. Средний размер частиц составляет ~500 нм (рис. 3B). После отжига образца А1 на воздухе при температуре 150°С наблюдается образование гексагональных кластеров со средним размером 400 нм (рис. 3С). При отжиге ксерогеля X1 изменений микроморфологии не происходит, однако наблюдается увеличение среднего размера частиц (рис. 3D). </w:t>
      </w:r>
    </w:p>
    <w:p w14:paraId="3FF7BF20" w14:textId="77777777" w:rsidR="008E4CB5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ЛРСА образцов А1 и X1 проводился с нескольких произвольных участков. Согласно полученным данным, отношение цинка к кислороду было примерно стехиометрическим, но с небольшим избытком кислорода. Вероятней всего, это связано с присутствием аморфной фазы и непрореагировавших продуктов исходных реакций. Последнее условие также объясняет присутствие небольших количеств углерода и азота.</w:t>
      </w:r>
    </w:p>
    <w:p w14:paraId="1E6C040C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В таблице 2 представлены результаты измерений образцов А1 и Х1 методом капиллярной адсорбции/десорбции азота. Все образцы имеют большую площадь удельной поверхности и большой объем мезопор. Ксерогель X1 имеет сравнимую с образцом А1 площадь удельной поверхности, но при этом больший объем пор (0.30 см³/г и 0.17 см³/г, соответственно), что может быть связано с различной морфологией гелей. При отжиге полученных образцов наблюдается уменьшение площади удельной поверхности (для аэрогелей - с 277 м²/г до 102 м²/г) и увеличение размеров пор.</w:t>
      </w:r>
    </w:p>
    <w:p w14:paraId="30E3F689" w14:textId="77777777" w:rsidR="005056BB" w:rsidRDefault="00997F80" w:rsidP="00271A4B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lastRenderedPageBreak/>
        <w:t>Пик в УФ-области обычно связывают с прямой рекомбинацией экситонов через механизм экситон-экситоного взаимодействия. Пик в видимой области чаще всего относят к наличию кислородных вакансий. У неотожженного образца А1 присутствуют только слабые пики, что связано с наличием аморфной фазы в образце и малым размером кристаллитов.</w:t>
      </w:r>
    </w:p>
    <w:p w14:paraId="3475A5C2" w14:textId="77777777" w:rsidR="00271A4B" w:rsidRDefault="00271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064E1F7" w14:textId="77777777" w:rsidR="00121F73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71A4B">
        <w:rPr>
          <w:rFonts w:ascii="Times New Roman" w:hAnsi="Times New Roman"/>
          <w:b/>
          <w:bCs/>
          <w:sz w:val="28"/>
          <w:szCs w:val="28"/>
        </w:rPr>
        <w:lastRenderedPageBreak/>
        <w:t>Выводы</w:t>
      </w:r>
    </w:p>
    <w:p w14:paraId="593D7614" w14:textId="77777777" w:rsidR="00271A4B" w:rsidRPr="00271A4B" w:rsidRDefault="00271A4B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E7C3B2" w14:textId="77777777" w:rsidR="00121F73" w:rsidRPr="00271A4B" w:rsidRDefault="00121F7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 xml:space="preserve">Таким образом, золь-гель методом с последующими сушками и отжигами образцов получены аэрогели и ксерогели оксида цинка с большой площадью удельной поверхности (&gt;270 г/см³), малой плотностью (~0.04 г/см³) и значительной пористостью. Полученный аэрогель состоит из слоистых частиц, образующих структуру в виде цветка. В то же время его аналог – ксерогель - состоит из гексагональных частиц, соединенных друг с другом. Отжиг полученных аэрогелей при температуре 250°С позволяет получить материал с хорошими фотолюминесцентными свойствами при сохранении значительной пористости. </w:t>
      </w:r>
    </w:p>
    <w:p w14:paraId="474B42C1" w14:textId="77777777" w:rsidR="00121F73" w:rsidRPr="00271A4B" w:rsidRDefault="003E7613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Эксито́н (лат. excito — «возбуждаю») — водородоподобная квазичастица, представляющая собой электронное возбуждение в диэлектрике или полупроводнике, мигрирующее по кристаллу и не связанное с переносом электрического заряда и массы.</w:t>
      </w:r>
    </w:p>
    <w:p w14:paraId="2D4CBDB5" w14:textId="77777777" w:rsidR="001D7BAA" w:rsidRPr="00271A4B" w:rsidRDefault="00271A4B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1D7BAA" w:rsidRPr="00271A4B">
        <w:rPr>
          <w:rFonts w:ascii="Times New Roman" w:hAnsi="Times New Roman"/>
          <w:sz w:val="28"/>
          <w:szCs w:val="28"/>
        </w:rPr>
        <w:t>поксид — трёхчленный гетероцикл с одним атомом кислорода и двумя метиленовыми группами.</w:t>
      </w:r>
    </w:p>
    <w:p w14:paraId="74168930" w14:textId="77777777" w:rsidR="001D7BAA" w:rsidRPr="00271A4B" w:rsidRDefault="001D7BAA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Автокла́в — аппарат для проведения различных процессов при нагреве и под давлением выше атмосферного. В этих условиях достигается ускорение реакции и увеличение выхода продукта. При использовании в химии или для проведения химических реакций используют название химический реактор.</w:t>
      </w:r>
    </w:p>
    <w:p w14:paraId="1F99FEBC" w14:textId="77777777" w:rsidR="00271A4B" w:rsidRDefault="00271A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1CE355B" w14:textId="77777777" w:rsidR="00097E4A" w:rsidRDefault="00097E4A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lastRenderedPageBreak/>
        <w:t>Список используемой литературы</w:t>
      </w:r>
      <w:r w:rsidRPr="00271A4B">
        <w:rPr>
          <w:rFonts w:ascii="Times New Roman" w:hAnsi="Times New Roman"/>
          <w:sz w:val="28"/>
          <w:szCs w:val="28"/>
          <w:lang w:val="en-US"/>
        </w:rPr>
        <w:t>:</w:t>
      </w:r>
    </w:p>
    <w:p w14:paraId="0EE1D3B5" w14:textId="77777777" w:rsidR="00271A4B" w:rsidRPr="00271A4B" w:rsidRDefault="00271A4B" w:rsidP="00271A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836CBF" w14:textId="77777777" w:rsidR="00097E4A" w:rsidRPr="00271A4B" w:rsidRDefault="00097E4A" w:rsidP="00271A4B">
      <w:pPr>
        <w:pStyle w:val="a5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71A4B">
        <w:rPr>
          <w:rFonts w:ascii="Times New Roman" w:hAnsi="Times New Roman"/>
          <w:sz w:val="28"/>
          <w:szCs w:val="28"/>
        </w:rPr>
        <w:t>Н. А. Шабанова П. Д. Саркисов: “ Основы золь-гель технологии нанодисперсного кремнезема”</w:t>
      </w:r>
    </w:p>
    <w:p w14:paraId="34EF9263" w14:textId="77777777" w:rsidR="00097E4A" w:rsidRPr="00271A4B" w:rsidRDefault="005056BB" w:rsidP="00271A4B">
      <w:pPr>
        <w:pStyle w:val="a5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097E4A" w:rsidRPr="00271A4B">
          <w:rPr>
            <w:rStyle w:val="ab"/>
            <w:rFonts w:ascii="Times New Roman" w:hAnsi="Times New Roman"/>
            <w:color w:val="auto"/>
            <w:sz w:val="28"/>
            <w:szCs w:val="28"/>
          </w:rPr>
          <w:t>http://www.nanometer.ru/</w:t>
        </w:r>
      </w:hyperlink>
    </w:p>
    <w:p w14:paraId="65CF9FE0" w14:textId="77777777" w:rsidR="00097E4A" w:rsidRPr="00271A4B" w:rsidRDefault="005056BB" w:rsidP="00271A4B">
      <w:pPr>
        <w:pStyle w:val="a5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097E4A" w:rsidRPr="00271A4B">
          <w:rPr>
            <w:rStyle w:val="ab"/>
            <w:rFonts w:ascii="Times New Roman" w:hAnsi="Times New Roman"/>
            <w:color w:val="auto"/>
            <w:sz w:val="28"/>
            <w:szCs w:val="28"/>
          </w:rPr>
          <w:t>http://popnano.ru/</w:t>
        </w:r>
      </w:hyperlink>
    </w:p>
    <w:p w14:paraId="69355241" w14:textId="77777777" w:rsidR="00097E4A" w:rsidRPr="00271A4B" w:rsidRDefault="005056BB" w:rsidP="00271A4B">
      <w:pPr>
        <w:pStyle w:val="a5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097E4A" w:rsidRPr="00271A4B">
          <w:rPr>
            <w:rStyle w:val="ab"/>
            <w:rFonts w:ascii="Times New Roman" w:hAnsi="Times New Roman"/>
            <w:color w:val="auto"/>
            <w:sz w:val="28"/>
            <w:szCs w:val="28"/>
          </w:rPr>
          <w:t>http://www.rusnauka.com/</w:t>
        </w:r>
      </w:hyperlink>
    </w:p>
    <w:p w14:paraId="3DA16772" w14:textId="77777777" w:rsidR="00097E4A" w:rsidRPr="00271A4B" w:rsidRDefault="005056BB" w:rsidP="00271A4B">
      <w:pPr>
        <w:pStyle w:val="a5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097E4A" w:rsidRPr="00271A4B">
          <w:rPr>
            <w:rStyle w:val="ab"/>
            <w:rFonts w:ascii="Times New Roman" w:hAnsi="Times New Roman"/>
            <w:color w:val="auto"/>
            <w:sz w:val="28"/>
            <w:szCs w:val="28"/>
          </w:rPr>
          <w:t>http://pubs.acs.org/</w:t>
        </w:r>
      </w:hyperlink>
    </w:p>
    <w:sectPr w:rsidR="00097E4A" w:rsidRPr="00271A4B" w:rsidSect="00271A4B"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52E0" w14:textId="77777777" w:rsidR="00C4031C" w:rsidRDefault="00C4031C" w:rsidP="00121F73">
      <w:pPr>
        <w:spacing w:after="0" w:line="240" w:lineRule="auto"/>
      </w:pPr>
      <w:r>
        <w:separator/>
      </w:r>
    </w:p>
  </w:endnote>
  <w:endnote w:type="continuationSeparator" w:id="0">
    <w:p w14:paraId="5A50791D" w14:textId="77777777" w:rsidR="00C4031C" w:rsidRDefault="00C4031C" w:rsidP="0012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F4EF" w14:textId="77777777" w:rsidR="00121F73" w:rsidRDefault="005056B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6782">
      <w:rPr>
        <w:noProof/>
      </w:rPr>
      <w:t>1</w:t>
    </w:r>
    <w:r>
      <w:fldChar w:fldCharType="end"/>
    </w:r>
  </w:p>
  <w:p w14:paraId="74A6600B" w14:textId="77777777" w:rsidR="00121F73" w:rsidRDefault="00121F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454F" w14:textId="77777777" w:rsidR="00C4031C" w:rsidRDefault="00C4031C" w:rsidP="00121F73">
      <w:pPr>
        <w:spacing w:after="0" w:line="240" w:lineRule="auto"/>
      </w:pPr>
      <w:r>
        <w:separator/>
      </w:r>
    </w:p>
  </w:footnote>
  <w:footnote w:type="continuationSeparator" w:id="0">
    <w:p w14:paraId="253CCEA6" w14:textId="77777777" w:rsidR="00C4031C" w:rsidRDefault="00C4031C" w:rsidP="0012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0AE"/>
    <w:multiLevelType w:val="hybridMultilevel"/>
    <w:tmpl w:val="FFFFFFFF"/>
    <w:lvl w:ilvl="0" w:tplc="92DA2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0C6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6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92E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25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20A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AF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A22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B00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6A165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C023E"/>
    <w:multiLevelType w:val="hybridMultilevel"/>
    <w:tmpl w:val="FFFFFFFF"/>
    <w:lvl w:ilvl="0" w:tplc="9E7A2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CC3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A6C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03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0B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E7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A2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A3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0D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4C4324"/>
    <w:multiLevelType w:val="hybridMultilevel"/>
    <w:tmpl w:val="FFFFFFFF"/>
    <w:lvl w:ilvl="0" w:tplc="F5929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29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A07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EC7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07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4A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6D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AD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0D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C10B00"/>
    <w:multiLevelType w:val="hybridMultilevel"/>
    <w:tmpl w:val="FFFFFFFF"/>
    <w:lvl w:ilvl="0" w:tplc="78502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8A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FCE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86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89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4C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6F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728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C07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A40D1B"/>
    <w:multiLevelType w:val="hybridMultilevel"/>
    <w:tmpl w:val="FFFFFFFF"/>
    <w:lvl w:ilvl="0" w:tplc="9F7CD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61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12B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26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0A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08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FE2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D01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82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72C3EB2"/>
    <w:multiLevelType w:val="hybridMultilevel"/>
    <w:tmpl w:val="FFFFFFFF"/>
    <w:lvl w:ilvl="0" w:tplc="22963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8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E4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09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04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F2A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6D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2E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B446FC3"/>
    <w:multiLevelType w:val="hybridMultilevel"/>
    <w:tmpl w:val="FFFFFFFF"/>
    <w:lvl w:ilvl="0" w:tplc="2E525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2C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5CA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EF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68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C3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B63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6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87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D15011B"/>
    <w:multiLevelType w:val="hybridMultilevel"/>
    <w:tmpl w:val="FFFFFFFF"/>
    <w:lvl w:ilvl="0" w:tplc="8AF8E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C0E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E8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743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B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42E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E9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C5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2D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700DF6"/>
    <w:multiLevelType w:val="hybridMultilevel"/>
    <w:tmpl w:val="FFFFFFFF"/>
    <w:lvl w:ilvl="0" w:tplc="25185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CD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46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EC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CF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E2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74E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8D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A7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A6694D"/>
    <w:multiLevelType w:val="hybridMultilevel"/>
    <w:tmpl w:val="FFFFFFFF"/>
    <w:lvl w:ilvl="0" w:tplc="CFF0D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69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A4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E0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E6E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C6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27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C5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3EF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36F04C4"/>
    <w:multiLevelType w:val="hybridMultilevel"/>
    <w:tmpl w:val="FFFFFFFF"/>
    <w:lvl w:ilvl="0" w:tplc="D3AC2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A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F61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70D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DEC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EF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24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80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A3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69564F"/>
    <w:multiLevelType w:val="hybridMultilevel"/>
    <w:tmpl w:val="FFFFFFFF"/>
    <w:lvl w:ilvl="0" w:tplc="AF18D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21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6A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E4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86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84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C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CA2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A1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01B4483"/>
    <w:multiLevelType w:val="hybridMultilevel"/>
    <w:tmpl w:val="FFFFFFFF"/>
    <w:lvl w:ilvl="0" w:tplc="0E6A3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CB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63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67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66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2D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8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C4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61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B54BB2"/>
    <w:multiLevelType w:val="hybridMultilevel"/>
    <w:tmpl w:val="FFFFFFFF"/>
    <w:lvl w:ilvl="0" w:tplc="A774C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26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045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1E7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A7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CA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AD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6C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B00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54B492E"/>
    <w:multiLevelType w:val="hybridMultilevel"/>
    <w:tmpl w:val="FFFFFFFF"/>
    <w:lvl w:ilvl="0" w:tplc="4C3E3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80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83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FE9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A4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C9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AF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A2D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10B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F7471A4"/>
    <w:multiLevelType w:val="hybridMultilevel"/>
    <w:tmpl w:val="FFFFFFFF"/>
    <w:lvl w:ilvl="0" w:tplc="76B6C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6CB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6D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CC7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4F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45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7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22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A7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45B0DB2"/>
    <w:multiLevelType w:val="hybridMultilevel"/>
    <w:tmpl w:val="FFFFFFFF"/>
    <w:lvl w:ilvl="0" w:tplc="E020D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6AE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0B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0B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C25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02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6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C3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C1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A86CE7"/>
    <w:multiLevelType w:val="hybridMultilevel"/>
    <w:tmpl w:val="FFFFFFFF"/>
    <w:lvl w:ilvl="0" w:tplc="B428D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EEE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43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AF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EAE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E21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0F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28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727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A6008E7"/>
    <w:multiLevelType w:val="hybridMultilevel"/>
    <w:tmpl w:val="FFFFFFFF"/>
    <w:lvl w:ilvl="0" w:tplc="48AC8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CC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86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05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CD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48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EAB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24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B40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8634CC"/>
    <w:multiLevelType w:val="hybridMultilevel"/>
    <w:tmpl w:val="FFFFFFFF"/>
    <w:lvl w:ilvl="0" w:tplc="DE66A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265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81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0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2B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2B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85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2F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29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24025725">
    <w:abstractNumId w:val="13"/>
  </w:num>
  <w:num w:numId="2" w16cid:durableId="2064406822">
    <w:abstractNumId w:val="18"/>
  </w:num>
  <w:num w:numId="3" w16cid:durableId="1182204712">
    <w:abstractNumId w:val="14"/>
  </w:num>
  <w:num w:numId="4" w16cid:durableId="1089035518">
    <w:abstractNumId w:val="17"/>
  </w:num>
  <w:num w:numId="5" w16cid:durableId="1134132323">
    <w:abstractNumId w:val="7"/>
  </w:num>
  <w:num w:numId="6" w16cid:durableId="923758680">
    <w:abstractNumId w:val="20"/>
  </w:num>
  <w:num w:numId="7" w16cid:durableId="698746306">
    <w:abstractNumId w:val="5"/>
  </w:num>
  <w:num w:numId="8" w16cid:durableId="522015496">
    <w:abstractNumId w:val="3"/>
  </w:num>
  <w:num w:numId="9" w16cid:durableId="268509850">
    <w:abstractNumId w:val="8"/>
  </w:num>
  <w:num w:numId="10" w16cid:durableId="423115491">
    <w:abstractNumId w:val="9"/>
  </w:num>
  <w:num w:numId="11" w16cid:durableId="1440448082">
    <w:abstractNumId w:val="4"/>
  </w:num>
  <w:num w:numId="12" w16cid:durableId="1595089201">
    <w:abstractNumId w:val="11"/>
  </w:num>
  <w:num w:numId="13" w16cid:durableId="2088068007">
    <w:abstractNumId w:val="15"/>
  </w:num>
  <w:num w:numId="14" w16cid:durableId="1448817991">
    <w:abstractNumId w:val="6"/>
  </w:num>
  <w:num w:numId="15" w16cid:durableId="840851978">
    <w:abstractNumId w:val="10"/>
  </w:num>
  <w:num w:numId="16" w16cid:durableId="1655644543">
    <w:abstractNumId w:val="12"/>
  </w:num>
  <w:num w:numId="17" w16cid:durableId="1346513260">
    <w:abstractNumId w:val="16"/>
  </w:num>
  <w:num w:numId="18" w16cid:durableId="1003705290">
    <w:abstractNumId w:val="0"/>
  </w:num>
  <w:num w:numId="19" w16cid:durableId="754977252">
    <w:abstractNumId w:val="2"/>
  </w:num>
  <w:num w:numId="20" w16cid:durableId="332681829">
    <w:abstractNumId w:val="19"/>
  </w:num>
  <w:num w:numId="21" w16cid:durableId="836387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73"/>
    <w:rsid w:val="00097E4A"/>
    <w:rsid w:val="00102740"/>
    <w:rsid w:val="00121F73"/>
    <w:rsid w:val="001D7BAA"/>
    <w:rsid w:val="002650E9"/>
    <w:rsid w:val="00271A4B"/>
    <w:rsid w:val="003E7613"/>
    <w:rsid w:val="005056BB"/>
    <w:rsid w:val="006550FC"/>
    <w:rsid w:val="008E4CB5"/>
    <w:rsid w:val="00976782"/>
    <w:rsid w:val="00997F80"/>
    <w:rsid w:val="00A04768"/>
    <w:rsid w:val="00A365A8"/>
    <w:rsid w:val="00AF102A"/>
    <w:rsid w:val="00B80227"/>
    <w:rsid w:val="00C4031C"/>
    <w:rsid w:val="00D63D66"/>
    <w:rsid w:val="00E35639"/>
    <w:rsid w:val="00EC04E5"/>
    <w:rsid w:val="00F8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0EEE0"/>
  <w14:defaultImageDpi w14:val="0"/>
  <w15:docId w15:val="{0BD5BD53-238F-4AED-B9D4-72AF4B95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0F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1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F7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2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21F73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12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21F73"/>
    <w:rPr>
      <w:rFonts w:cs="Times New Roman"/>
    </w:rPr>
  </w:style>
  <w:style w:type="character" w:styleId="aa">
    <w:name w:val="Placeholder Text"/>
    <w:basedOn w:val="a0"/>
    <w:uiPriority w:val="99"/>
    <w:semiHidden/>
    <w:rsid w:val="001D7BAA"/>
    <w:rPr>
      <w:rFonts w:cs="Times New Roman"/>
      <w:color w:val="808080"/>
    </w:rPr>
  </w:style>
  <w:style w:type="character" w:styleId="ab">
    <w:name w:val="Hyperlink"/>
    <w:basedOn w:val="a0"/>
    <w:uiPriority w:val="99"/>
    <w:unhideWhenUsed/>
    <w:rsid w:val="00097E4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7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7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omete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s.acs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usnauk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pnan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2448</Words>
  <Characters>13954</Characters>
  <Application>Microsoft Office Word</Application>
  <DocSecurity>0</DocSecurity>
  <Lines>116</Lines>
  <Paragraphs>32</Paragraphs>
  <ScaleCrop>false</ScaleCrop>
  <Company/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2026-02-15T16:05:00Z</dcterms:created>
  <dcterms:modified xsi:type="dcterms:W3CDTF">2026-02-15T16:05:00Z</dcterms:modified>
</cp:coreProperties>
</file>